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50" w:afterAutospacing="0" w:line="30" w:lineRule="atLeast"/>
        <w:ind w:left="0" w:right="0"/>
        <w:jc w:val="center"/>
        <w:rPr>
          <w:rFonts w:hint="eastAsia" w:asciiTheme="minorEastAsia" w:hAnsiTheme="minorEastAsia" w:eastAsiaTheme="minorEastAsia" w:cstheme="minorEastAsia"/>
          <w:b/>
          <w:bCs/>
          <w:color w:val="auto"/>
          <w:sz w:val="32"/>
          <w:szCs w:val="32"/>
          <w:highlight w:val="none"/>
          <w:lang w:val="en-US" w:eastAsia="zh-CN"/>
        </w:rPr>
      </w:pPr>
      <w:bookmarkStart w:id="0" w:name="_GoBack"/>
      <w:r>
        <w:rPr>
          <w:rFonts w:hint="eastAsia" w:asciiTheme="minorEastAsia" w:hAnsiTheme="minorEastAsia" w:cstheme="minorEastAsia"/>
          <w:b/>
          <w:bCs/>
          <w:color w:val="auto"/>
          <w:sz w:val="32"/>
          <w:szCs w:val="32"/>
          <w:highlight w:val="none"/>
          <w:lang w:val="en-US" w:eastAsia="zh-CN"/>
        </w:rPr>
        <w:t>采购需求</w:t>
      </w:r>
    </w:p>
    <w:p>
      <w:pPr>
        <w:pStyle w:val="19"/>
        <w:numPr>
          <w:ilvl w:val="0"/>
          <w:numId w:val="0"/>
        </w:numPr>
        <w:shd w:val="clear"/>
        <w:tabs>
          <w:tab w:val="left" w:pos="2766"/>
        </w:tabs>
        <w:spacing w:line="360" w:lineRule="auto"/>
        <w:jc w:val="left"/>
        <w:rPr>
          <w:rFonts w:hint="eastAsia" w:asciiTheme="minorEastAsia" w:hAnsiTheme="minorEastAsia" w:cstheme="minorEastAsia"/>
          <w:b/>
          <w:bCs/>
          <w:color w:val="auto"/>
          <w:kern w:val="0"/>
          <w:sz w:val="28"/>
          <w:szCs w:val="28"/>
          <w:highlight w:val="none"/>
          <w:lang w:val="en-US" w:eastAsia="zh-CN" w:bidi="ar"/>
        </w:rPr>
      </w:pPr>
      <w:r>
        <w:rPr>
          <w:rFonts w:hint="eastAsia" w:asciiTheme="minorEastAsia" w:hAnsiTheme="minorEastAsia" w:cstheme="minorEastAsia"/>
          <w:b/>
          <w:bCs/>
          <w:color w:val="auto"/>
          <w:kern w:val="0"/>
          <w:sz w:val="28"/>
          <w:szCs w:val="28"/>
          <w:highlight w:val="none"/>
          <w:lang w:val="en-US" w:eastAsia="zh-CN" w:bidi="ar"/>
        </w:rPr>
        <w:t>1、需求概况</w:t>
      </w:r>
    </w:p>
    <w:p>
      <w:pPr>
        <w:pStyle w:val="19"/>
        <w:shd w:val="clear"/>
        <w:tabs>
          <w:tab w:val="left" w:pos="2766"/>
        </w:tabs>
        <w:spacing w:line="360" w:lineRule="auto"/>
        <w:ind w:firstLine="0" w:firstLineChars="0"/>
        <w:jc w:val="left"/>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cs="Times New Roman"/>
          <w:b w:val="0"/>
          <w:bCs w:val="0"/>
          <w:color w:val="auto"/>
          <w:sz w:val="24"/>
          <w:szCs w:val="24"/>
          <w:highlight w:val="none"/>
          <w:lang w:val="en-US" w:eastAsia="zh-CN"/>
        </w:rPr>
        <w:t xml:space="preserve">    </w:t>
      </w:r>
      <w:r>
        <w:rPr>
          <w:rFonts w:hint="eastAsia" w:cs="Times New Roman"/>
          <w:b w:val="0"/>
          <w:bCs w:val="0"/>
          <w:color w:val="auto"/>
          <w:sz w:val="24"/>
          <w:szCs w:val="24"/>
          <w:highlight w:val="none"/>
          <w:lang w:eastAsia="zh-CN"/>
        </w:rPr>
        <w:t>铜陵市中医医院中央空调项目，运行已有</w:t>
      </w:r>
      <w:r>
        <w:rPr>
          <w:rFonts w:hint="eastAsia" w:cs="Times New Roman"/>
          <w:b w:val="0"/>
          <w:bCs w:val="0"/>
          <w:color w:val="auto"/>
          <w:sz w:val="24"/>
          <w:szCs w:val="24"/>
          <w:highlight w:val="none"/>
          <w:lang w:val="en-US" w:eastAsia="zh-CN"/>
        </w:rPr>
        <w:t>十余</w:t>
      </w:r>
      <w:r>
        <w:rPr>
          <w:rFonts w:hint="eastAsia" w:cs="Times New Roman"/>
          <w:b w:val="0"/>
          <w:bCs w:val="0"/>
          <w:color w:val="auto"/>
          <w:sz w:val="24"/>
          <w:szCs w:val="24"/>
          <w:highlight w:val="none"/>
          <w:lang w:eastAsia="zh-CN"/>
        </w:rPr>
        <w:t>年的时间，检修发现末端水管网锈蚀，依据现场核查，空调机房</w:t>
      </w:r>
      <w:r>
        <w:rPr>
          <w:rFonts w:hint="eastAsia" w:cs="Times New Roman"/>
          <w:b w:val="0"/>
          <w:bCs w:val="0"/>
          <w:color w:val="auto"/>
          <w:sz w:val="24"/>
          <w:szCs w:val="24"/>
          <w:highlight w:val="none"/>
          <w:lang w:val="en-US" w:eastAsia="zh-CN"/>
        </w:rPr>
        <w:t>及</w:t>
      </w:r>
      <w:r>
        <w:rPr>
          <w:rFonts w:hint="eastAsia" w:cs="Times New Roman"/>
          <w:b w:val="0"/>
          <w:bCs w:val="0"/>
          <w:color w:val="auto"/>
          <w:sz w:val="24"/>
          <w:szCs w:val="24"/>
          <w:highlight w:val="none"/>
          <w:lang w:eastAsia="zh-CN"/>
        </w:rPr>
        <w:t>门诊病房综合楼</w:t>
      </w:r>
      <w:r>
        <w:rPr>
          <w:rFonts w:hint="eastAsia" w:cs="Times New Roman"/>
          <w:b w:val="0"/>
          <w:bCs w:val="0"/>
          <w:color w:val="auto"/>
          <w:sz w:val="24"/>
          <w:szCs w:val="24"/>
          <w:highlight w:val="none"/>
          <w:lang w:val="en-US" w:eastAsia="zh-CN"/>
        </w:rPr>
        <w:t>区域，</w:t>
      </w:r>
      <w:r>
        <w:rPr>
          <w:rFonts w:hint="eastAsia" w:cs="Times New Roman"/>
          <w:b w:val="0"/>
          <w:bCs w:val="0"/>
          <w:color w:val="auto"/>
          <w:sz w:val="24"/>
          <w:szCs w:val="24"/>
          <w:highlight w:val="none"/>
          <w:lang w:eastAsia="zh-CN"/>
        </w:rPr>
        <w:t>管道及系统配件</w:t>
      </w:r>
      <w:r>
        <w:rPr>
          <w:rFonts w:hint="eastAsia" w:cs="Times New Roman"/>
          <w:b w:val="0"/>
          <w:bCs w:val="0"/>
          <w:color w:val="auto"/>
          <w:kern w:val="2"/>
          <w:sz w:val="24"/>
          <w:szCs w:val="24"/>
          <w:highlight w:val="none"/>
          <w:lang w:val="en-US" w:eastAsia="zh-CN" w:bidi="ar-SA"/>
        </w:rPr>
        <w:t>（阀门、弯头、变镜头、水流开关等）</w:t>
      </w:r>
      <w:r>
        <w:rPr>
          <w:rFonts w:hint="eastAsia" w:cs="Times New Roman"/>
          <w:b w:val="0"/>
          <w:bCs w:val="0"/>
          <w:color w:val="auto"/>
          <w:sz w:val="24"/>
          <w:szCs w:val="24"/>
          <w:highlight w:val="none"/>
          <w:lang w:eastAsia="zh-CN"/>
        </w:rPr>
        <w:t>锈蚀，</w:t>
      </w:r>
      <w:r>
        <w:rPr>
          <w:rFonts w:hint="eastAsia" w:cs="Times New Roman"/>
          <w:b w:val="0"/>
          <w:bCs w:val="0"/>
          <w:color w:val="auto"/>
          <w:kern w:val="2"/>
          <w:sz w:val="24"/>
          <w:szCs w:val="24"/>
          <w:highlight w:val="none"/>
          <w:lang w:val="en-US" w:eastAsia="zh-CN" w:bidi="ar-SA"/>
        </w:rPr>
        <w:t>功能性实现存在隐患，</w:t>
      </w:r>
      <w:r>
        <w:rPr>
          <w:rFonts w:hint="eastAsia" w:cs="Times New Roman"/>
          <w:b w:val="0"/>
          <w:bCs w:val="0"/>
          <w:color w:val="auto"/>
          <w:sz w:val="24"/>
          <w:szCs w:val="24"/>
          <w:highlight w:val="none"/>
          <w:lang w:val="en-US" w:eastAsia="zh-CN"/>
        </w:rPr>
        <w:t>考虑整体</w:t>
      </w:r>
      <w:r>
        <w:rPr>
          <w:rFonts w:hint="eastAsia" w:cs="Times New Roman"/>
          <w:b w:val="0"/>
          <w:bCs w:val="0"/>
          <w:color w:val="auto"/>
          <w:sz w:val="24"/>
          <w:szCs w:val="24"/>
          <w:highlight w:val="none"/>
          <w:lang w:eastAsia="zh-CN"/>
        </w:rPr>
        <w:t>更换，</w:t>
      </w:r>
      <w:r>
        <w:rPr>
          <w:rFonts w:hint="eastAsia" w:cs="Times New Roman"/>
          <w:b w:val="0"/>
          <w:bCs w:val="0"/>
          <w:color w:val="auto"/>
          <w:sz w:val="24"/>
          <w:szCs w:val="24"/>
          <w:highlight w:val="none"/>
          <w:lang w:val="en-US" w:eastAsia="zh-CN"/>
        </w:rPr>
        <w:t>含吊架，</w:t>
      </w:r>
      <w:r>
        <w:rPr>
          <w:rFonts w:hint="eastAsia" w:cs="Times New Roman"/>
          <w:b w:val="0"/>
          <w:bCs w:val="0"/>
          <w:color w:val="auto"/>
          <w:sz w:val="24"/>
          <w:szCs w:val="24"/>
          <w:highlight w:val="none"/>
          <w:lang w:eastAsia="zh-CN"/>
        </w:rPr>
        <w:t>风机盘管机组箱体锈蚀，积水盘</w:t>
      </w:r>
      <w:r>
        <w:rPr>
          <w:rFonts w:hint="eastAsia" w:cs="Times New Roman"/>
          <w:b w:val="0"/>
          <w:bCs w:val="0"/>
          <w:color w:val="auto"/>
          <w:sz w:val="24"/>
          <w:szCs w:val="24"/>
          <w:highlight w:val="none"/>
          <w:lang w:val="en-US" w:eastAsia="zh-CN"/>
        </w:rPr>
        <w:t>等。</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cs="Times New Roman" w:asciiTheme="minorHAnsi" w:hAnsiTheme="minorHAnsi" w:eastAsiaTheme="minorEastAsia"/>
          <w:b w:val="0"/>
          <w:bCs w:val="0"/>
          <w:color w:val="auto"/>
          <w:kern w:val="2"/>
          <w:sz w:val="24"/>
          <w:szCs w:val="24"/>
          <w:highlight w:val="none"/>
          <w:lang w:val="en-US" w:eastAsia="zh-CN" w:bidi="ar-SA"/>
        </w:rPr>
      </w:pPr>
      <w:r>
        <w:rPr>
          <w:rFonts w:hint="eastAsia" w:cs="Times New Roman" w:asciiTheme="minorHAnsi" w:hAnsiTheme="minorHAnsi" w:eastAsiaTheme="minorEastAsia"/>
          <w:b w:val="0"/>
          <w:bCs w:val="0"/>
          <w:color w:val="auto"/>
          <w:kern w:val="2"/>
          <w:sz w:val="24"/>
          <w:szCs w:val="24"/>
          <w:highlight w:val="none"/>
          <w:lang w:val="en-US" w:eastAsia="zh-CN" w:bidi="ar-SA"/>
        </w:rPr>
        <w:t>中标人与采购人再行对接设计图，</w:t>
      </w:r>
      <w:r>
        <w:rPr>
          <w:rFonts w:hint="eastAsia" w:cs="Times New Roman"/>
          <w:b w:val="0"/>
          <w:bCs w:val="0"/>
          <w:color w:val="auto"/>
          <w:kern w:val="2"/>
          <w:sz w:val="24"/>
          <w:szCs w:val="24"/>
          <w:highlight w:val="none"/>
          <w:lang w:val="en-US" w:eastAsia="zh-CN" w:bidi="ar-SA"/>
        </w:rPr>
        <w:t>审核</w:t>
      </w:r>
      <w:r>
        <w:rPr>
          <w:rFonts w:hint="eastAsia" w:cs="Times New Roman" w:asciiTheme="minorHAnsi" w:hAnsiTheme="minorHAnsi" w:eastAsiaTheme="minorEastAsia"/>
          <w:b w:val="0"/>
          <w:bCs w:val="0"/>
          <w:color w:val="auto"/>
          <w:kern w:val="2"/>
          <w:sz w:val="24"/>
          <w:szCs w:val="24"/>
          <w:highlight w:val="none"/>
          <w:lang w:val="en-US" w:eastAsia="zh-CN" w:bidi="ar-SA"/>
        </w:rPr>
        <w:t>出具本更换工程的工程量清单编制和控制价。使用原设计图，涉及需变动的由后勤保障部提供给中标人</w:t>
      </w:r>
      <w:r>
        <w:rPr>
          <w:rFonts w:hint="eastAsia" w:cs="Times New Roman"/>
          <w:b w:val="0"/>
          <w:bCs w:val="0"/>
          <w:color w:val="auto"/>
          <w:kern w:val="2"/>
          <w:sz w:val="24"/>
          <w:szCs w:val="24"/>
          <w:highlight w:val="none"/>
          <w:lang w:val="en-US" w:eastAsia="zh-CN" w:bidi="ar-SA"/>
        </w:rPr>
        <w:t>。</w:t>
      </w:r>
      <w:r>
        <w:rPr>
          <w:rFonts w:hint="eastAsia" w:cs="Times New Roman" w:asciiTheme="minorHAnsi" w:hAnsiTheme="minorHAnsi" w:eastAsiaTheme="minorEastAsia"/>
          <w:b w:val="0"/>
          <w:bCs w:val="0"/>
          <w:color w:val="auto"/>
          <w:kern w:val="2"/>
          <w:sz w:val="24"/>
          <w:szCs w:val="24"/>
          <w:highlight w:val="none"/>
          <w:lang w:val="en-US" w:eastAsia="zh-CN" w:bidi="ar-SA"/>
        </w:rPr>
        <w:t>其中空调立管部分的工程量清单编制和控制价单列。</w:t>
      </w:r>
    </w:p>
    <w:p>
      <w:pPr>
        <w:shd w:val="clear"/>
        <w:rPr>
          <w:rFonts w:hint="eastAsia"/>
          <w:color w:val="auto"/>
          <w:highlight w:val="none"/>
          <w:lang w:val="en-US" w:eastAsia="zh-CN"/>
        </w:rPr>
      </w:pPr>
    </w:p>
    <w:p>
      <w:pPr>
        <w:pStyle w:val="19"/>
        <w:numPr>
          <w:ilvl w:val="0"/>
          <w:numId w:val="1"/>
        </w:numPr>
        <w:shd w:val="clear"/>
        <w:tabs>
          <w:tab w:val="left" w:pos="2766"/>
        </w:tabs>
        <w:spacing w:line="360" w:lineRule="auto"/>
        <w:ind w:firstLine="0" w:firstLineChars="0"/>
        <w:jc w:val="left"/>
        <w:rPr>
          <w:rFonts w:hint="eastAsia" w:asciiTheme="minorEastAsia" w:hAnsiTheme="minorEastAsia" w:eastAsiaTheme="minorEastAsia" w:cstheme="minorEastAsia"/>
          <w:b/>
          <w:bCs/>
          <w:color w:val="auto"/>
          <w:kern w:val="0"/>
          <w:sz w:val="28"/>
          <w:szCs w:val="28"/>
          <w:highlight w:val="none"/>
          <w:lang w:val="en-US" w:eastAsia="zh-CN" w:bidi="ar"/>
        </w:rPr>
      </w:pPr>
      <w:r>
        <w:rPr>
          <w:rFonts w:hint="eastAsia" w:asciiTheme="minorEastAsia" w:hAnsiTheme="minorEastAsia" w:cstheme="minorEastAsia"/>
          <w:b/>
          <w:bCs/>
          <w:color w:val="auto"/>
          <w:kern w:val="0"/>
          <w:sz w:val="28"/>
          <w:szCs w:val="28"/>
          <w:highlight w:val="none"/>
          <w:lang w:val="en-US" w:eastAsia="zh-CN" w:bidi="ar"/>
        </w:rPr>
        <w:t>报价和服务费结算</w:t>
      </w:r>
    </w:p>
    <w:p>
      <w:pPr>
        <w:pStyle w:val="19"/>
        <w:numPr>
          <w:ilvl w:val="0"/>
          <w:numId w:val="0"/>
        </w:numPr>
        <w:shd w:val="clear"/>
        <w:tabs>
          <w:tab w:val="left" w:pos="2766"/>
        </w:tabs>
        <w:spacing w:line="360" w:lineRule="auto"/>
        <w:ind w:firstLine="480" w:firstLineChars="200"/>
        <w:jc w:val="left"/>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报价按不超过下表中工程量清单编制和控制价的费率（‰），进行百分率报价（不超过小数点后2位%）。</w:t>
      </w:r>
    </w:p>
    <w:p>
      <w:pPr>
        <w:shd w:val="clear"/>
        <w:jc w:val="center"/>
        <w:rPr>
          <w:rFonts w:hint="eastAsia"/>
          <w:b/>
          <w:bCs/>
          <w:color w:val="auto"/>
          <w:sz w:val="28"/>
          <w:szCs w:val="36"/>
          <w:highlight w:val="none"/>
        </w:rPr>
      </w:pPr>
      <w:r>
        <w:rPr>
          <w:rFonts w:hint="eastAsia"/>
          <w:b/>
          <w:bCs/>
          <w:color w:val="auto"/>
          <w:sz w:val="28"/>
          <w:szCs w:val="36"/>
          <w:highlight w:val="none"/>
        </w:rPr>
        <w:t>安徽省建设工程造价咨询服务项目及收费标准</w:t>
      </w:r>
    </w:p>
    <w:p>
      <w:pPr>
        <w:pStyle w:val="2"/>
        <w:jc w:val="right"/>
        <w:rPr>
          <w:rFonts w:hint="eastAsia"/>
          <w:color w:val="auto"/>
          <w:highlight w:val="none"/>
          <w:lang w:val="en-US" w:eastAsia="zh-CN"/>
        </w:rPr>
      </w:pPr>
      <w:r>
        <w:rPr>
          <w:rFonts w:hint="eastAsia"/>
          <w:color w:val="auto"/>
          <w:highlight w:val="none"/>
          <w:lang w:val="en-US" w:eastAsia="zh-CN"/>
        </w:rPr>
        <w:t>（</w:t>
      </w:r>
      <w:r>
        <w:rPr>
          <w:rFonts w:hint="eastAsia"/>
          <w:color w:val="auto"/>
          <w:highlight w:val="none"/>
          <w:lang w:val="en-US" w:eastAsia="zh-CN"/>
        </w:rPr>
        <w:t>皖价服[2007]86号文节选）</w:t>
      </w:r>
    </w:p>
    <w:p>
      <w:pPr>
        <w:shd w:val="clear"/>
        <w:jc w:val="right"/>
        <w:rPr>
          <w:rFonts w:hint="eastAsia" w:eastAsia="宋体"/>
          <w:b/>
          <w:bCs/>
          <w:color w:val="auto"/>
          <w:sz w:val="24"/>
          <w:szCs w:val="32"/>
          <w:highlight w:val="none"/>
          <w:lang w:val="en-US" w:eastAsia="zh-CN"/>
        </w:rPr>
      </w:pPr>
      <w:r>
        <w:rPr>
          <w:rFonts w:hint="eastAsia"/>
          <w:b/>
          <w:bCs/>
          <w:color w:val="auto"/>
          <w:sz w:val="24"/>
          <w:szCs w:val="32"/>
          <w:highlight w:val="none"/>
          <w:lang w:val="en-US" w:eastAsia="zh-CN"/>
        </w:rPr>
        <w:t>费率：‰</w:t>
      </w:r>
    </w:p>
    <w:tbl>
      <w:tblPr>
        <w:tblStyle w:val="1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
        <w:gridCol w:w="700"/>
        <w:gridCol w:w="1325"/>
        <w:gridCol w:w="1063"/>
        <w:gridCol w:w="1224"/>
        <w:gridCol w:w="965"/>
        <w:gridCol w:w="965"/>
        <w:gridCol w:w="965"/>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347" w:type="dxa"/>
            <w:vMerge w:val="restart"/>
            <w:vAlign w:val="center"/>
          </w:tcPr>
          <w:p>
            <w:pPr>
              <w:shd w:val="clear"/>
              <w:jc w:val="center"/>
              <w:rPr>
                <w:rFonts w:hint="eastAsia" w:eastAsia="宋体"/>
                <w:b/>
                <w:bCs/>
                <w:color w:val="auto"/>
                <w:sz w:val="22"/>
                <w:szCs w:val="28"/>
                <w:highlight w:val="none"/>
                <w:vertAlign w:val="baseline"/>
                <w:lang w:val="en-US" w:eastAsia="zh-CN"/>
              </w:rPr>
            </w:pPr>
            <w:r>
              <w:rPr>
                <w:rFonts w:hint="eastAsia"/>
                <w:b/>
                <w:bCs/>
                <w:color w:val="auto"/>
                <w:sz w:val="22"/>
                <w:szCs w:val="28"/>
                <w:highlight w:val="none"/>
                <w:vertAlign w:val="baseline"/>
                <w:lang w:val="en-US" w:eastAsia="zh-CN"/>
              </w:rPr>
              <w:t>序号</w:t>
            </w:r>
          </w:p>
        </w:tc>
        <w:tc>
          <w:tcPr>
            <w:tcW w:w="2025" w:type="dxa"/>
            <w:gridSpan w:val="2"/>
            <w:vMerge w:val="restart"/>
            <w:vAlign w:val="center"/>
          </w:tcPr>
          <w:p>
            <w:pPr>
              <w:shd w:val="clear"/>
              <w:jc w:val="center"/>
              <w:rPr>
                <w:rFonts w:hint="eastAsia"/>
                <w:b/>
                <w:bCs/>
                <w:color w:val="auto"/>
                <w:sz w:val="22"/>
                <w:szCs w:val="28"/>
                <w:highlight w:val="none"/>
                <w:vertAlign w:val="baseline"/>
              </w:rPr>
            </w:pPr>
            <w:r>
              <w:rPr>
                <w:rFonts w:hint="eastAsia"/>
                <w:b/>
                <w:bCs/>
                <w:color w:val="auto"/>
                <w:sz w:val="22"/>
                <w:szCs w:val="28"/>
                <w:highlight w:val="none"/>
                <w:vertAlign w:val="baseline"/>
                <w:lang w:val="en-US" w:eastAsia="zh-CN"/>
              </w:rPr>
              <w:t>咨询项目</w:t>
            </w:r>
          </w:p>
        </w:tc>
        <w:tc>
          <w:tcPr>
            <w:tcW w:w="1063" w:type="dxa"/>
            <w:vMerge w:val="restart"/>
            <w:vAlign w:val="center"/>
          </w:tcPr>
          <w:p>
            <w:pPr>
              <w:shd w:val="clear"/>
              <w:jc w:val="center"/>
              <w:rPr>
                <w:rFonts w:hint="eastAsia" w:eastAsia="宋体"/>
                <w:b/>
                <w:bCs/>
                <w:color w:val="auto"/>
                <w:sz w:val="22"/>
                <w:szCs w:val="28"/>
                <w:highlight w:val="none"/>
                <w:vertAlign w:val="baseline"/>
                <w:lang w:val="en-US" w:eastAsia="zh-CN"/>
              </w:rPr>
            </w:pPr>
            <w:r>
              <w:rPr>
                <w:rFonts w:hint="eastAsia"/>
                <w:b/>
                <w:bCs/>
                <w:color w:val="auto"/>
                <w:sz w:val="22"/>
                <w:szCs w:val="28"/>
                <w:highlight w:val="none"/>
                <w:vertAlign w:val="baseline"/>
                <w:lang w:val="en-US" w:eastAsia="zh-CN"/>
              </w:rPr>
              <w:t>收费  基础</w:t>
            </w:r>
          </w:p>
        </w:tc>
        <w:tc>
          <w:tcPr>
            <w:tcW w:w="1224" w:type="dxa"/>
            <w:vMerge w:val="restart"/>
            <w:vAlign w:val="center"/>
          </w:tcPr>
          <w:p>
            <w:pPr>
              <w:shd w:val="clear"/>
              <w:jc w:val="center"/>
              <w:rPr>
                <w:rFonts w:hint="eastAsia" w:eastAsia="宋体"/>
                <w:b/>
                <w:bCs/>
                <w:color w:val="auto"/>
                <w:sz w:val="22"/>
                <w:szCs w:val="28"/>
                <w:highlight w:val="none"/>
                <w:vertAlign w:val="baseline"/>
                <w:lang w:val="en-US" w:eastAsia="zh-CN"/>
              </w:rPr>
            </w:pPr>
            <w:r>
              <w:rPr>
                <w:rFonts w:hint="eastAsia"/>
                <w:b/>
                <w:bCs/>
                <w:color w:val="auto"/>
                <w:sz w:val="22"/>
                <w:szCs w:val="28"/>
                <w:highlight w:val="none"/>
                <w:vertAlign w:val="baseline"/>
                <w:lang w:val="en-US" w:eastAsia="zh-CN"/>
              </w:rPr>
              <w:t>工程类别</w:t>
            </w:r>
          </w:p>
        </w:tc>
        <w:tc>
          <w:tcPr>
            <w:tcW w:w="3860" w:type="dxa"/>
            <w:gridSpan w:val="4"/>
            <w:vAlign w:val="center"/>
          </w:tcPr>
          <w:p>
            <w:pPr>
              <w:shd w:val="clear"/>
              <w:jc w:val="center"/>
              <w:rPr>
                <w:rFonts w:hint="eastAsia" w:eastAsia="宋体"/>
                <w:b/>
                <w:bCs/>
                <w:color w:val="auto"/>
                <w:sz w:val="22"/>
                <w:szCs w:val="28"/>
                <w:highlight w:val="none"/>
                <w:vertAlign w:val="baseline"/>
                <w:lang w:val="en-US" w:eastAsia="zh-CN"/>
              </w:rPr>
            </w:pPr>
            <w:r>
              <w:rPr>
                <w:rFonts w:hint="eastAsia"/>
                <w:b/>
                <w:bCs/>
                <w:color w:val="auto"/>
                <w:sz w:val="22"/>
                <w:szCs w:val="28"/>
                <w:highlight w:val="none"/>
                <w:vertAlign w:val="baseline"/>
                <w:lang w:val="en-US" w:eastAsia="zh-CN"/>
              </w:rPr>
              <w:t>单位工程金额（万元）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347" w:type="dxa"/>
            <w:vMerge w:val="continue"/>
            <w:vAlign w:val="center"/>
          </w:tcPr>
          <w:p>
            <w:pPr>
              <w:shd w:val="clear"/>
              <w:jc w:val="center"/>
              <w:rPr>
                <w:rFonts w:hint="eastAsia" w:eastAsia="宋体"/>
                <w:color w:val="auto"/>
                <w:highlight w:val="none"/>
                <w:vertAlign w:val="baseline"/>
                <w:lang w:val="en-US" w:eastAsia="zh-CN"/>
              </w:rPr>
            </w:pPr>
          </w:p>
        </w:tc>
        <w:tc>
          <w:tcPr>
            <w:tcW w:w="2025" w:type="dxa"/>
            <w:gridSpan w:val="2"/>
            <w:vMerge w:val="continue"/>
            <w:vAlign w:val="center"/>
          </w:tcPr>
          <w:p>
            <w:pPr>
              <w:shd w:val="clear"/>
              <w:jc w:val="center"/>
              <w:rPr>
                <w:rFonts w:hint="eastAsia"/>
                <w:color w:val="auto"/>
                <w:highlight w:val="none"/>
                <w:vertAlign w:val="baseline"/>
              </w:rPr>
            </w:pPr>
          </w:p>
        </w:tc>
        <w:tc>
          <w:tcPr>
            <w:tcW w:w="1063" w:type="dxa"/>
            <w:vMerge w:val="continue"/>
            <w:vAlign w:val="center"/>
          </w:tcPr>
          <w:p>
            <w:pPr>
              <w:shd w:val="clear"/>
              <w:jc w:val="center"/>
              <w:rPr>
                <w:rFonts w:hint="eastAsia" w:eastAsia="宋体"/>
                <w:color w:val="auto"/>
                <w:highlight w:val="none"/>
                <w:vertAlign w:val="baseline"/>
                <w:lang w:val="en-US" w:eastAsia="zh-CN"/>
              </w:rPr>
            </w:pPr>
          </w:p>
        </w:tc>
        <w:tc>
          <w:tcPr>
            <w:tcW w:w="1224" w:type="dxa"/>
            <w:vMerge w:val="continue"/>
            <w:vAlign w:val="center"/>
          </w:tcPr>
          <w:p>
            <w:pPr>
              <w:shd w:val="clear"/>
              <w:jc w:val="center"/>
              <w:rPr>
                <w:rFonts w:hint="eastAsia" w:eastAsia="宋体"/>
                <w:color w:val="auto"/>
                <w:highlight w:val="none"/>
                <w:vertAlign w:val="baseline"/>
                <w:lang w:val="en-US" w:eastAsia="zh-CN"/>
              </w:rPr>
            </w:pPr>
          </w:p>
        </w:tc>
        <w:tc>
          <w:tcPr>
            <w:tcW w:w="965" w:type="dxa"/>
            <w:vAlign w:val="center"/>
          </w:tcPr>
          <w:p>
            <w:pPr>
              <w:shd w:val="clea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100以内</w:t>
            </w:r>
          </w:p>
        </w:tc>
        <w:tc>
          <w:tcPr>
            <w:tcW w:w="965" w:type="dxa"/>
            <w:vAlign w:val="center"/>
          </w:tcPr>
          <w:p>
            <w:pPr>
              <w:shd w:val="clear"/>
              <w:jc w:val="center"/>
              <w:rPr>
                <w:rFonts w:hint="eastAsia"/>
                <w:color w:val="auto"/>
                <w:highlight w:val="none"/>
                <w:vertAlign w:val="baseline"/>
              </w:rPr>
            </w:pPr>
            <w:r>
              <w:rPr>
                <w:rFonts w:hint="eastAsia"/>
                <w:color w:val="auto"/>
                <w:highlight w:val="none"/>
                <w:vertAlign w:val="baseline"/>
                <w:lang w:val="en-US" w:eastAsia="zh-CN"/>
              </w:rPr>
              <w:t>200以内</w:t>
            </w:r>
          </w:p>
        </w:tc>
        <w:tc>
          <w:tcPr>
            <w:tcW w:w="965" w:type="dxa"/>
            <w:vAlign w:val="center"/>
          </w:tcPr>
          <w:p>
            <w:pPr>
              <w:shd w:val="clear"/>
              <w:jc w:val="center"/>
              <w:rPr>
                <w:rFonts w:hint="eastAsia"/>
                <w:color w:val="auto"/>
                <w:highlight w:val="none"/>
                <w:vertAlign w:val="baseline"/>
              </w:rPr>
            </w:pPr>
            <w:r>
              <w:rPr>
                <w:rFonts w:hint="eastAsia"/>
                <w:color w:val="auto"/>
                <w:highlight w:val="none"/>
                <w:vertAlign w:val="baseline"/>
                <w:lang w:val="en-US" w:eastAsia="zh-CN"/>
              </w:rPr>
              <w:t>500以内</w:t>
            </w:r>
          </w:p>
        </w:tc>
        <w:tc>
          <w:tcPr>
            <w:tcW w:w="965" w:type="dxa"/>
            <w:vAlign w:val="center"/>
          </w:tcPr>
          <w:p>
            <w:pPr>
              <w:shd w:val="clear"/>
              <w:jc w:val="center"/>
              <w:rPr>
                <w:rFonts w:hint="eastAsia"/>
                <w:color w:val="auto"/>
                <w:highlight w:val="none"/>
                <w:vertAlign w:val="baseline"/>
              </w:rPr>
            </w:pPr>
            <w:r>
              <w:rPr>
                <w:rFonts w:hint="eastAsia"/>
                <w:color w:val="auto"/>
                <w:highlight w:val="none"/>
                <w:vertAlign w:val="baseline"/>
                <w:lang w:val="en-US" w:eastAsia="zh-CN"/>
              </w:rPr>
              <w:t>1000以内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347" w:type="dxa"/>
            <w:vMerge w:val="restart"/>
            <w:vAlign w:val="center"/>
          </w:tcPr>
          <w:p>
            <w:pPr>
              <w:shd w:val="clea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六</w:t>
            </w:r>
          </w:p>
        </w:tc>
        <w:tc>
          <w:tcPr>
            <w:tcW w:w="700" w:type="dxa"/>
            <w:vMerge w:val="restart"/>
            <w:vAlign w:val="center"/>
          </w:tcPr>
          <w:p>
            <w:pPr>
              <w:shd w:val="clea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清单计价</w:t>
            </w:r>
          </w:p>
        </w:tc>
        <w:tc>
          <w:tcPr>
            <w:tcW w:w="1325" w:type="dxa"/>
            <w:vAlign w:val="center"/>
          </w:tcPr>
          <w:p>
            <w:pPr>
              <w:shd w:val="clear"/>
              <w:jc w:val="center"/>
              <w:rPr>
                <w:rFonts w:hint="eastAsia"/>
                <w:color w:val="auto"/>
                <w:highlight w:val="none"/>
                <w:vertAlign w:val="baseline"/>
              </w:rPr>
            </w:pPr>
            <w:r>
              <w:rPr>
                <w:rFonts w:hint="eastAsia"/>
                <w:color w:val="auto"/>
                <w:highlight w:val="none"/>
                <w:vertAlign w:val="baseline"/>
              </w:rPr>
              <w:t>工程量清单编制</w:t>
            </w:r>
          </w:p>
        </w:tc>
        <w:tc>
          <w:tcPr>
            <w:tcW w:w="1063" w:type="dxa"/>
            <w:vAlign w:val="center"/>
          </w:tcPr>
          <w:p>
            <w:pPr>
              <w:shd w:val="clea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中标价</w:t>
            </w:r>
          </w:p>
        </w:tc>
        <w:tc>
          <w:tcPr>
            <w:tcW w:w="1224" w:type="dxa"/>
            <w:vAlign w:val="center"/>
          </w:tcPr>
          <w:p>
            <w:pPr>
              <w:shd w:val="clea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安装工程</w:t>
            </w:r>
          </w:p>
        </w:tc>
        <w:tc>
          <w:tcPr>
            <w:tcW w:w="965" w:type="dxa"/>
            <w:vAlign w:val="center"/>
          </w:tcPr>
          <w:p>
            <w:pPr>
              <w:shd w:val="clea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5.0</w:t>
            </w:r>
          </w:p>
        </w:tc>
        <w:tc>
          <w:tcPr>
            <w:tcW w:w="965" w:type="dxa"/>
            <w:vAlign w:val="center"/>
          </w:tcPr>
          <w:p>
            <w:pPr>
              <w:shd w:val="clea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4.6</w:t>
            </w:r>
          </w:p>
        </w:tc>
        <w:tc>
          <w:tcPr>
            <w:tcW w:w="965" w:type="dxa"/>
            <w:vAlign w:val="center"/>
          </w:tcPr>
          <w:p>
            <w:pPr>
              <w:shd w:val="clea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4.0</w:t>
            </w:r>
          </w:p>
        </w:tc>
        <w:tc>
          <w:tcPr>
            <w:tcW w:w="965" w:type="dxa"/>
            <w:vAlign w:val="center"/>
          </w:tcPr>
          <w:p>
            <w:pPr>
              <w:shd w:val="clea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347" w:type="dxa"/>
            <w:vMerge w:val="continue"/>
            <w:vAlign w:val="center"/>
          </w:tcPr>
          <w:p>
            <w:pPr>
              <w:shd w:val="clear"/>
              <w:jc w:val="center"/>
              <w:rPr>
                <w:rFonts w:hint="eastAsia"/>
                <w:color w:val="auto"/>
                <w:highlight w:val="none"/>
                <w:vertAlign w:val="baseline"/>
              </w:rPr>
            </w:pPr>
          </w:p>
        </w:tc>
        <w:tc>
          <w:tcPr>
            <w:tcW w:w="700" w:type="dxa"/>
            <w:vMerge w:val="continue"/>
            <w:vAlign w:val="center"/>
          </w:tcPr>
          <w:p>
            <w:pPr>
              <w:shd w:val="clear"/>
              <w:jc w:val="center"/>
              <w:rPr>
                <w:rFonts w:hint="eastAsia"/>
                <w:color w:val="auto"/>
                <w:highlight w:val="none"/>
                <w:vertAlign w:val="baseline"/>
              </w:rPr>
            </w:pPr>
          </w:p>
        </w:tc>
        <w:tc>
          <w:tcPr>
            <w:tcW w:w="1325" w:type="dxa"/>
            <w:vAlign w:val="center"/>
          </w:tcPr>
          <w:p>
            <w:pPr>
              <w:shd w:val="clear"/>
              <w:jc w:val="center"/>
              <w:rPr>
                <w:rFonts w:hint="eastAsia"/>
                <w:color w:val="auto"/>
                <w:highlight w:val="none"/>
                <w:vertAlign w:val="baseline"/>
              </w:rPr>
            </w:pPr>
            <w:r>
              <w:rPr>
                <w:rFonts w:hint="eastAsia"/>
                <w:color w:val="auto"/>
                <w:highlight w:val="none"/>
                <w:vertAlign w:val="baseline"/>
              </w:rPr>
              <w:t>控制价</w:t>
            </w:r>
          </w:p>
        </w:tc>
        <w:tc>
          <w:tcPr>
            <w:tcW w:w="1063" w:type="dxa"/>
            <w:vAlign w:val="center"/>
          </w:tcPr>
          <w:p>
            <w:pPr>
              <w:shd w:val="clea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中标价</w:t>
            </w:r>
          </w:p>
        </w:tc>
        <w:tc>
          <w:tcPr>
            <w:tcW w:w="1224" w:type="dxa"/>
            <w:vAlign w:val="center"/>
          </w:tcPr>
          <w:p>
            <w:pPr>
              <w:shd w:val="clea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安装工程</w:t>
            </w:r>
          </w:p>
        </w:tc>
        <w:tc>
          <w:tcPr>
            <w:tcW w:w="965" w:type="dxa"/>
            <w:vAlign w:val="center"/>
          </w:tcPr>
          <w:p>
            <w:pPr>
              <w:shd w:val="clea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2.1</w:t>
            </w:r>
          </w:p>
        </w:tc>
        <w:tc>
          <w:tcPr>
            <w:tcW w:w="965" w:type="dxa"/>
            <w:vAlign w:val="center"/>
          </w:tcPr>
          <w:p>
            <w:pPr>
              <w:shd w:val="clea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1.9</w:t>
            </w:r>
          </w:p>
        </w:tc>
        <w:tc>
          <w:tcPr>
            <w:tcW w:w="965" w:type="dxa"/>
            <w:vAlign w:val="center"/>
          </w:tcPr>
          <w:p>
            <w:pPr>
              <w:shd w:val="clea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1.7</w:t>
            </w:r>
          </w:p>
        </w:tc>
        <w:tc>
          <w:tcPr>
            <w:tcW w:w="965" w:type="dxa"/>
            <w:vAlign w:val="center"/>
          </w:tcPr>
          <w:p>
            <w:pPr>
              <w:shd w:val="clea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1.6</w:t>
            </w:r>
          </w:p>
        </w:tc>
      </w:tr>
    </w:tbl>
    <w:p>
      <w:pPr>
        <w:shd w:val="clear"/>
        <w:rPr>
          <w:rFonts w:hint="eastAsia"/>
          <w:color w:val="auto"/>
          <w:highlight w:val="none"/>
        </w:rPr>
      </w:pPr>
    </w:p>
    <w:p>
      <w:pPr>
        <w:pStyle w:val="19"/>
        <w:numPr>
          <w:ilvl w:val="0"/>
          <w:numId w:val="0"/>
        </w:numPr>
        <w:shd w:val="clear"/>
        <w:tabs>
          <w:tab w:val="left" w:pos="2766"/>
        </w:tabs>
        <w:spacing w:line="360" w:lineRule="auto"/>
        <w:ind w:firstLine="480" w:firstLineChars="200"/>
        <w:jc w:val="left"/>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服务费结算按本工程招标中标价（上表中的分段）金额*上表中相应分段费率（‰）累加后*报价（%），结果以金额元保留小数点后2位，从第3位开始舍弃。</w:t>
      </w:r>
    </w:p>
    <w:p>
      <w:pPr>
        <w:pStyle w:val="19"/>
        <w:numPr>
          <w:ilvl w:val="0"/>
          <w:numId w:val="0"/>
        </w:numPr>
        <w:shd w:val="clear"/>
        <w:tabs>
          <w:tab w:val="left" w:pos="2766"/>
        </w:tabs>
        <w:spacing w:line="360" w:lineRule="auto"/>
        <w:ind w:firstLine="480" w:firstLineChars="200"/>
        <w:jc w:val="left"/>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如造价中标价80%、此工程招标中标价500万元，则总造价咨询服务费（万元）=[100*（5.0+2.1）‰+（200-100）*（4.6+1.9）‰+（500-200）*（4.0+1.7）‰]*80%。不足1000元按1000元结算。</w:t>
      </w:r>
    </w:p>
    <w:p>
      <w:pPr>
        <w:pStyle w:val="19"/>
        <w:numPr>
          <w:ilvl w:val="0"/>
          <w:numId w:val="0"/>
        </w:numPr>
        <w:shd w:val="clear"/>
        <w:tabs>
          <w:tab w:val="left" w:pos="2766"/>
        </w:tabs>
        <w:spacing w:line="360" w:lineRule="auto"/>
        <w:jc w:val="left"/>
        <w:rPr>
          <w:rFonts w:hint="eastAsia"/>
          <w:b w:val="0"/>
          <w:bCs w:val="0"/>
          <w:color w:val="auto"/>
          <w:sz w:val="24"/>
          <w:szCs w:val="24"/>
          <w:highlight w:val="none"/>
          <w:lang w:val="en-US" w:eastAsia="zh-CN"/>
        </w:rPr>
      </w:pPr>
    </w:p>
    <w:p>
      <w:pPr>
        <w:pStyle w:val="19"/>
        <w:numPr>
          <w:ilvl w:val="0"/>
          <w:numId w:val="1"/>
        </w:numPr>
        <w:shd w:val="clear"/>
        <w:tabs>
          <w:tab w:val="left" w:pos="2766"/>
        </w:tabs>
        <w:spacing w:line="360" w:lineRule="auto"/>
        <w:ind w:firstLine="0" w:firstLineChars="0"/>
        <w:jc w:val="left"/>
        <w:rPr>
          <w:rFonts w:hint="eastAsia" w:asciiTheme="minorEastAsia" w:hAnsiTheme="minorEastAsia" w:eastAsiaTheme="minorEastAsia" w:cstheme="minorEastAsia"/>
          <w:b/>
          <w:bCs/>
          <w:color w:val="auto"/>
          <w:kern w:val="0"/>
          <w:sz w:val="28"/>
          <w:szCs w:val="28"/>
          <w:highlight w:val="none"/>
          <w:lang w:val="en-US" w:eastAsia="zh-CN" w:bidi="ar"/>
        </w:rPr>
      </w:pPr>
      <w:r>
        <w:rPr>
          <w:rFonts w:hint="eastAsia" w:asciiTheme="minorEastAsia" w:hAnsiTheme="minorEastAsia" w:eastAsiaTheme="minorEastAsia" w:cstheme="minorEastAsia"/>
          <w:b/>
          <w:bCs/>
          <w:color w:val="auto"/>
          <w:kern w:val="0"/>
          <w:sz w:val="28"/>
          <w:szCs w:val="28"/>
          <w:highlight w:val="none"/>
          <w:lang w:val="en-US" w:eastAsia="zh-CN" w:bidi="ar"/>
        </w:rPr>
        <w:t>评审（满分</w:t>
      </w:r>
      <w:r>
        <w:rPr>
          <w:rFonts w:hint="eastAsia" w:asciiTheme="minorEastAsia" w:hAnsiTheme="minorEastAsia" w:cstheme="minorEastAsia"/>
          <w:b/>
          <w:bCs/>
          <w:color w:val="auto"/>
          <w:kern w:val="0"/>
          <w:sz w:val="28"/>
          <w:szCs w:val="28"/>
          <w:highlight w:val="none"/>
          <w:lang w:val="en-US" w:eastAsia="zh-CN" w:bidi="ar"/>
        </w:rPr>
        <w:t>100</w:t>
      </w:r>
      <w:r>
        <w:rPr>
          <w:rFonts w:hint="eastAsia" w:asciiTheme="minorEastAsia" w:hAnsiTheme="minorEastAsia" w:eastAsiaTheme="minorEastAsia" w:cstheme="minorEastAsia"/>
          <w:b/>
          <w:bCs/>
          <w:color w:val="auto"/>
          <w:kern w:val="0"/>
          <w:sz w:val="28"/>
          <w:szCs w:val="28"/>
          <w:highlight w:val="none"/>
          <w:lang w:val="en-US" w:eastAsia="zh-CN" w:bidi="ar"/>
        </w:rPr>
        <w:t>分）</w:t>
      </w:r>
    </w:p>
    <w:tbl>
      <w:tblPr>
        <w:tblStyle w:val="26"/>
        <w:tblW w:w="93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563"/>
        <w:gridCol w:w="847"/>
        <w:gridCol w:w="6554"/>
        <w:gridCol w:w="14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563" w:type="dxa"/>
            <w:tcBorders>
              <w:bottom w:val="single" w:color="000000" w:sz="2" w:space="0"/>
            </w:tcBorders>
            <w:shd w:val="clear" w:color="auto" w:fill="auto"/>
            <w:vAlign w:val="center"/>
          </w:tcPr>
          <w:p>
            <w:pPr>
              <w:shd w:val="clear"/>
              <w:spacing w:before="171"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pacing w:val="-2"/>
                <w:sz w:val="21"/>
                <w:szCs w:val="21"/>
                <w:highlight w:val="none"/>
              </w:rPr>
              <w:t>序</w:t>
            </w:r>
            <w:r>
              <w:rPr>
                <w:rFonts w:hint="eastAsia" w:asciiTheme="minorEastAsia" w:hAnsiTheme="minorEastAsia" w:eastAsiaTheme="minorEastAsia" w:cstheme="minorEastAsia"/>
                <w:b/>
                <w:bCs/>
                <w:color w:val="auto"/>
                <w:spacing w:val="-1"/>
                <w:sz w:val="21"/>
                <w:szCs w:val="21"/>
                <w:highlight w:val="none"/>
              </w:rPr>
              <w:t>号</w:t>
            </w:r>
          </w:p>
        </w:tc>
        <w:tc>
          <w:tcPr>
            <w:tcW w:w="847" w:type="dxa"/>
            <w:tcBorders>
              <w:bottom w:val="single" w:color="000000" w:sz="2" w:space="0"/>
            </w:tcBorders>
            <w:shd w:val="clear" w:color="auto" w:fill="auto"/>
            <w:vAlign w:val="center"/>
          </w:tcPr>
          <w:p>
            <w:pPr>
              <w:shd w:val="clear"/>
              <w:spacing w:before="170" w:line="240" w:lineRule="auto"/>
              <w:jc w:val="center"/>
              <w:rPr>
                <w:rFonts w:hint="eastAsia" w:asciiTheme="minorEastAsia" w:hAnsiTheme="minorEastAsia" w:eastAsiaTheme="minorEastAsia" w:cstheme="minorEastAsia"/>
                <w:b/>
                <w:bCs/>
                <w:color w:val="auto"/>
                <w:spacing w:val="-2"/>
                <w:sz w:val="21"/>
                <w:szCs w:val="21"/>
                <w:highlight w:val="none"/>
              </w:rPr>
            </w:pPr>
            <w:r>
              <w:rPr>
                <w:rFonts w:hint="eastAsia" w:asciiTheme="minorEastAsia" w:hAnsiTheme="minorEastAsia" w:eastAsiaTheme="minorEastAsia" w:cstheme="minorEastAsia"/>
                <w:b/>
                <w:bCs/>
                <w:color w:val="auto"/>
                <w:spacing w:val="-1"/>
                <w:sz w:val="21"/>
                <w:szCs w:val="21"/>
                <w:highlight w:val="none"/>
              </w:rPr>
              <w:t>评分项目</w:t>
            </w:r>
          </w:p>
        </w:tc>
        <w:tc>
          <w:tcPr>
            <w:tcW w:w="6554" w:type="dxa"/>
            <w:shd w:val="clear" w:color="auto" w:fill="auto"/>
            <w:vAlign w:val="center"/>
          </w:tcPr>
          <w:p>
            <w:pPr>
              <w:shd w:val="clear"/>
              <w:spacing w:before="170" w:line="240" w:lineRule="auto"/>
              <w:jc w:val="center"/>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rPr>
              <w:t>评分内容及标准</w:t>
            </w:r>
          </w:p>
        </w:tc>
        <w:tc>
          <w:tcPr>
            <w:tcW w:w="1433" w:type="dxa"/>
            <w:tcBorders>
              <w:bottom w:val="single" w:color="000000" w:sz="2" w:space="0"/>
            </w:tcBorders>
            <w:shd w:val="clear" w:color="auto" w:fill="auto"/>
            <w:vAlign w:val="top"/>
          </w:tcPr>
          <w:p>
            <w:pPr>
              <w:shd w:val="clear"/>
              <w:spacing w:before="170"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Ex>
        <w:trPr>
          <w:trHeight w:val="2092" w:hRule="atLeast"/>
        </w:trPr>
        <w:tc>
          <w:tcPr>
            <w:tcW w:w="563" w:type="dxa"/>
            <w:vMerge w:val="restart"/>
            <w:tcBorders>
              <w:top w:val="single" w:color="000000" w:sz="2" w:space="0"/>
              <w:bottom w:val="single" w:color="000000" w:sz="2" w:space="0"/>
            </w:tcBorders>
            <w:shd w:val="clear" w:color="auto" w:fill="auto"/>
            <w:vAlign w:val="top"/>
          </w:tcPr>
          <w:p>
            <w:pPr>
              <w:shd w:val="clear"/>
              <w:spacing w:line="240" w:lineRule="auto"/>
              <w:rPr>
                <w:rFonts w:hint="eastAsia" w:asciiTheme="minorEastAsia" w:hAnsiTheme="minorEastAsia" w:eastAsiaTheme="minorEastAsia" w:cstheme="minorEastAsia"/>
                <w:color w:val="auto"/>
                <w:sz w:val="21"/>
                <w:szCs w:val="21"/>
                <w:highlight w:val="none"/>
              </w:rPr>
            </w:pPr>
          </w:p>
          <w:p>
            <w:pPr>
              <w:shd w:val="clear"/>
              <w:spacing w:line="240" w:lineRule="auto"/>
              <w:rPr>
                <w:rFonts w:hint="eastAsia" w:asciiTheme="minorEastAsia" w:hAnsiTheme="minorEastAsia" w:eastAsiaTheme="minorEastAsia" w:cstheme="minorEastAsia"/>
                <w:color w:val="auto"/>
                <w:sz w:val="21"/>
                <w:szCs w:val="21"/>
                <w:highlight w:val="none"/>
              </w:rPr>
            </w:pPr>
          </w:p>
          <w:p>
            <w:pPr>
              <w:shd w:val="clear"/>
              <w:spacing w:line="240" w:lineRule="auto"/>
              <w:rPr>
                <w:rFonts w:hint="eastAsia" w:asciiTheme="minorEastAsia" w:hAnsiTheme="minorEastAsia" w:eastAsiaTheme="minorEastAsia" w:cstheme="minorEastAsia"/>
                <w:color w:val="auto"/>
                <w:sz w:val="21"/>
                <w:szCs w:val="21"/>
                <w:highlight w:val="none"/>
              </w:rPr>
            </w:pPr>
          </w:p>
          <w:p>
            <w:pPr>
              <w:shd w:val="clear"/>
              <w:spacing w:line="240" w:lineRule="auto"/>
              <w:rPr>
                <w:rFonts w:hint="eastAsia" w:asciiTheme="minorEastAsia" w:hAnsiTheme="minorEastAsia" w:eastAsiaTheme="minorEastAsia" w:cstheme="minorEastAsia"/>
                <w:color w:val="auto"/>
                <w:sz w:val="21"/>
                <w:szCs w:val="21"/>
                <w:highlight w:val="none"/>
              </w:rPr>
            </w:pPr>
          </w:p>
          <w:p>
            <w:pPr>
              <w:shd w:val="clear"/>
              <w:spacing w:line="240" w:lineRule="auto"/>
              <w:rPr>
                <w:rFonts w:hint="eastAsia" w:asciiTheme="minorEastAsia" w:hAnsiTheme="minorEastAsia" w:eastAsiaTheme="minorEastAsia" w:cstheme="minorEastAsia"/>
                <w:color w:val="auto"/>
                <w:sz w:val="21"/>
                <w:szCs w:val="21"/>
                <w:highlight w:val="none"/>
              </w:rPr>
            </w:pPr>
          </w:p>
          <w:p>
            <w:pPr>
              <w:shd w:val="clear"/>
              <w:spacing w:line="240" w:lineRule="auto"/>
              <w:rPr>
                <w:rFonts w:hint="eastAsia" w:asciiTheme="minorEastAsia" w:hAnsiTheme="minorEastAsia" w:eastAsiaTheme="minorEastAsia" w:cstheme="minorEastAsia"/>
                <w:color w:val="auto"/>
                <w:sz w:val="21"/>
                <w:szCs w:val="21"/>
                <w:highlight w:val="none"/>
              </w:rPr>
            </w:pPr>
          </w:p>
          <w:p>
            <w:pPr>
              <w:pStyle w:val="10"/>
              <w:shd w:val="clear"/>
              <w:spacing w:line="240" w:lineRule="auto"/>
              <w:rPr>
                <w:rFonts w:hint="eastAsia" w:asciiTheme="minorEastAsia" w:hAnsiTheme="minorEastAsia" w:eastAsiaTheme="minorEastAsia" w:cstheme="minorEastAsia"/>
                <w:color w:val="auto"/>
                <w:sz w:val="21"/>
                <w:szCs w:val="21"/>
                <w:highlight w:val="none"/>
              </w:rPr>
            </w:pPr>
          </w:p>
          <w:p>
            <w:pPr>
              <w:shd w:val="clear"/>
              <w:spacing w:line="240" w:lineRule="auto"/>
              <w:rPr>
                <w:rFonts w:hint="eastAsia" w:asciiTheme="minorEastAsia" w:hAnsiTheme="minorEastAsia" w:eastAsiaTheme="minorEastAsia" w:cstheme="minorEastAsia"/>
                <w:color w:val="auto"/>
                <w:sz w:val="21"/>
                <w:szCs w:val="21"/>
                <w:highlight w:val="none"/>
              </w:rPr>
            </w:pPr>
          </w:p>
          <w:p>
            <w:pPr>
              <w:shd w:val="clear"/>
              <w:spacing w:before="68" w:line="240" w:lineRule="auto"/>
              <w:ind w:left="359"/>
              <w:rPr>
                <w:rFonts w:hint="eastAsia" w:asciiTheme="minorEastAsia" w:hAnsiTheme="minorEastAsia" w:eastAsiaTheme="minorEastAsia" w:cstheme="minorEastAsia"/>
                <w:color w:val="auto"/>
                <w:sz w:val="21"/>
                <w:szCs w:val="21"/>
                <w:highlight w:val="none"/>
              </w:rPr>
            </w:pPr>
          </w:p>
          <w:p>
            <w:pPr>
              <w:shd w:val="clear"/>
              <w:spacing w:before="68" w:line="240" w:lineRule="auto"/>
              <w:ind w:left="359"/>
              <w:rPr>
                <w:rFonts w:hint="eastAsia" w:asciiTheme="minorEastAsia" w:hAnsiTheme="minorEastAsia" w:eastAsiaTheme="minorEastAsia" w:cstheme="minorEastAsia"/>
                <w:color w:val="auto"/>
                <w:sz w:val="21"/>
                <w:szCs w:val="21"/>
                <w:highlight w:val="none"/>
                <w:lang w:val="zh-CN" w:eastAsia="zh-CN"/>
              </w:rPr>
            </w:pPr>
          </w:p>
          <w:p>
            <w:pPr>
              <w:shd w:val="clear"/>
              <w:spacing w:before="68" w:line="240" w:lineRule="auto"/>
              <w:ind w:left="35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eastAsia="zh-CN"/>
              </w:rPr>
              <w:t>1</w:t>
            </w:r>
          </w:p>
        </w:tc>
        <w:tc>
          <w:tcPr>
            <w:tcW w:w="847" w:type="dxa"/>
            <w:vMerge w:val="restart"/>
            <w:tcBorders>
              <w:top w:val="single" w:color="000000" w:sz="2" w:space="0"/>
              <w:bottom w:val="single" w:color="000000" w:sz="2" w:space="0"/>
            </w:tcBorders>
            <w:shd w:val="clear" w:color="auto" w:fill="auto"/>
            <w:vAlign w:val="center"/>
          </w:tcPr>
          <w:p>
            <w:pPr>
              <w:shd w:val="clear"/>
              <w:spacing w:before="68" w:line="240" w:lineRule="auto"/>
              <w:ind w:left="223" w:right="226" w:firstLine="2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eastAsia="zh-CN"/>
              </w:rPr>
              <w:t xml:space="preserve">服务方案 </w:t>
            </w:r>
            <w:r>
              <w:rPr>
                <w:rFonts w:hint="eastAsia" w:asciiTheme="minorEastAsia" w:hAnsiTheme="minorEastAsia" w:eastAsiaTheme="minorEastAsia" w:cstheme="minorEastAsia"/>
                <w:color w:val="auto"/>
                <w:sz w:val="21"/>
                <w:szCs w:val="21"/>
                <w:highlight w:val="none"/>
                <w:lang w:val="en-US" w:eastAsia="zh-CN"/>
              </w:rPr>
              <w:t>35分</w:t>
            </w:r>
          </w:p>
        </w:tc>
        <w:tc>
          <w:tcPr>
            <w:tcW w:w="6554" w:type="dxa"/>
            <w:shd w:val="clear" w:color="auto" w:fill="auto"/>
            <w:vAlign w:val="top"/>
          </w:tcPr>
          <w:p>
            <w:pPr>
              <w:numPr>
                <w:ilvl w:val="0"/>
                <w:numId w:val="0"/>
              </w:numPr>
              <w:shd w:val="clea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1、针对本项目编制详细的总体服务方案，方案需有工作内容、工作目标、人员分工安排、奖惩措施等。（</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val="zh-CN" w:eastAsia="zh-CN"/>
              </w:rPr>
              <w:t>分）：</w:t>
            </w:r>
          </w:p>
          <w:p>
            <w:pPr>
              <w:numPr>
                <w:ilvl w:val="0"/>
                <w:numId w:val="0"/>
              </w:numPr>
              <w:shd w:val="clea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①方案科学、合理、详尽，符合项目实际，可行性强的得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val="zh-CN" w:eastAsia="zh-CN"/>
              </w:rPr>
              <w:t>分；</w:t>
            </w:r>
          </w:p>
          <w:p>
            <w:pPr>
              <w:numPr>
                <w:ilvl w:val="0"/>
                <w:numId w:val="0"/>
              </w:numPr>
              <w:shd w:val="clea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②方案能够满足项目要求，方案全面、合理的得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分；</w:t>
            </w:r>
          </w:p>
          <w:p>
            <w:pPr>
              <w:numPr>
                <w:ilvl w:val="0"/>
                <w:numId w:val="0"/>
              </w:numPr>
              <w:shd w:val="clea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③方案有一定内容，但方案需进一步完善的得</w:t>
            </w:r>
            <w:r>
              <w:rPr>
                <w:rFonts w:hint="eastAsia" w:asciiTheme="minorEastAsia" w:hAnsiTheme="minorEastAsia" w:cstheme="minorEastAsia"/>
                <w:color w:val="auto"/>
                <w:sz w:val="21"/>
                <w:szCs w:val="21"/>
                <w:highlight w:val="none"/>
                <w:lang w:val="en-US" w:eastAsia="zh-CN"/>
              </w:rPr>
              <w:t>（大于0）-</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zh-CN" w:eastAsia="zh-CN"/>
              </w:rPr>
              <w:t>分；</w:t>
            </w:r>
          </w:p>
          <w:p>
            <w:pPr>
              <w:pStyle w:val="10"/>
              <w:shd w:val="clear"/>
              <w:ind w:left="0" w:leftChars="0"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④</w:t>
            </w:r>
            <w:r>
              <w:rPr>
                <w:rFonts w:hint="eastAsia" w:asciiTheme="minorEastAsia" w:hAnsiTheme="minorEastAsia" w:eastAsiaTheme="minorEastAsia" w:cstheme="minorEastAsia"/>
                <w:bCs w:val="0"/>
                <w:color w:val="auto"/>
                <w:sz w:val="21"/>
                <w:szCs w:val="21"/>
                <w:highlight w:val="none"/>
                <w:lang w:val="zh-CN" w:eastAsia="zh-CN" w:bidi="ar-SA"/>
              </w:rPr>
              <w:t>方案不可行或未提供不得分。</w:t>
            </w:r>
          </w:p>
        </w:tc>
        <w:tc>
          <w:tcPr>
            <w:tcW w:w="1433" w:type="dxa"/>
            <w:vMerge w:val="restart"/>
            <w:tcBorders>
              <w:top w:val="single" w:color="000000" w:sz="2" w:space="0"/>
              <w:bottom w:val="single" w:color="000000" w:sz="2" w:space="0"/>
            </w:tcBorders>
            <w:shd w:val="clear" w:color="auto" w:fill="auto"/>
            <w:vAlign w:val="top"/>
          </w:tcPr>
          <w:p>
            <w:pPr>
              <w:keepNext w:val="0"/>
              <w:keepLines w:val="0"/>
              <w:pageBreakBefore w:val="0"/>
              <w:widowControl/>
              <w:shd w:val="clear"/>
              <w:kinsoku w:val="0"/>
              <w:wordWrap/>
              <w:overflowPunct/>
              <w:topLinePunct w:val="0"/>
              <w:autoSpaceDE w:val="0"/>
              <w:autoSpaceDN w:val="0"/>
              <w:bidi w:val="0"/>
              <w:adjustRightInd w:val="0"/>
              <w:snapToGrid w:val="0"/>
              <w:spacing w:before="68" w:line="240" w:lineRule="auto"/>
              <w:ind w:left="130" w:right="0" w:hanging="17"/>
              <w:textAlignment w:val="baseline"/>
              <w:rPr>
                <w:rFonts w:hint="eastAsia" w:asciiTheme="minorEastAsia" w:hAnsiTheme="minorEastAsia" w:eastAsiaTheme="minorEastAsia" w:cstheme="minorEastAsia"/>
                <w:color w:val="auto"/>
                <w:sz w:val="21"/>
                <w:szCs w:val="21"/>
                <w:highlight w:val="none"/>
              </w:rPr>
            </w:pPr>
          </w:p>
          <w:p>
            <w:pPr>
              <w:keepNext w:val="0"/>
              <w:keepLines w:val="0"/>
              <w:pageBreakBefore w:val="0"/>
              <w:widowControl/>
              <w:shd w:val="clear"/>
              <w:kinsoku w:val="0"/>
              <w:wordWrap/>
              <w:overflowPunct/>
              <w:topLinePunct w:val="0"/>
              <w:autoSpaceDE w:val="0"/>
              <w:autoSpaceDN w:val="0"/>
              <w:bidi w:val="0"/>
              <w:adjustRightInd w:val="0"/>
              <w:snapToGrid w:val="0"/>
              <w:spacing w:before="68" w:line="240" w:lineRule="auto"/>
              <w:ind w:left="130" w:right="0" w:hanging="17"/>
              <w:textAlignment w:val="baseline"/>
              <w:rPr>
                <w:rFonts w:hint="eastAsia" w:asciiTheme="minorEastAsia" w:hAnsiTheme="minorEastAsia" w:eastAsiaTheme="minorEastAsia" w:cstheme="minorEastAsia"/>
                <w:color w:val="auto"/>
                <w:sz w:val="21"/>
                <w:szCs w:val="21"/>
                <w:highlight w:val="none"/>
              </w:rPr>
            </w:pPr>
          </w:p>
          <w:p>
            <w:pPr>
              <w:keepNext w:val="0"/>
              <w:keepLines w:val="0"/>
              <w:pageBreakBefore w:val="0"/>
              <w:widowControl/>
              <w:shd w:val="clear"/>
              <w:kinsoku w:val="0"/>
              <w:wordWrap/>
              <w:overflowPunct/>
              <w:topLinePunct w:val="0"/>
              <w:autoSpaceDE w:val="0"/>
              <w:autoSpaceDN w:val="0"/>
              <w:bidi w:val="0"/>
              <w:adjustRightInd w:val="0"/>
              <w:snapToGrid w:val="0"/>
              <w:spacing w:before="68" w:line="240" w:lineRule="auto"/>
              <w:ind w:left="130" w:right="0" w:hanging="17"/>
              <w:textAlignment w:val="baseline"/>
              <w:rPr>
                <w:rFonts w:hint="eastAsia" w:asciiTheme="minorEastAsia" w:hAnsiTheme="minorEastAsia" w:eastAsiaTheme="minorEastAsia" w:cstheme="minorEastAsia"/>
                <w:color w:val="auto"/>
                <w:sz w:val="21"/>
                <w:szCs w:val="21"/>
                <w:highlight w:val="none"/>
              </w:rPr>
            </w:pPr>
          </w:p>
          <w:p>
            <w:pPr>
              <w:keepNext w:val="0"/>
              <w:keepLines w:val="0"/>
              <w:pageBreakBefore w:val="0"/>
              <w:widowControl/>
              <w:shd w:val="clear"/>
              <w:kinsoku w:val="0"/>
              <w:wordWrap/>
              <w:overflowPunct/>
              <w:topLinePunct w:val="0"/>
              <w:autoSpaceDE w:val="0"/>
              <w:autoSpaceDN w:val="0"/>
              <w:bidi w:val="0"/>
              <w:adjustRightInd w:val="0"/>
              <w:snapToGrid w:val="0"/>
              <w:spacing w:before="68" w:line="240" w:lineRule="auto"/>
              <w:ind w:left="130" w:right="0" w:hanging="17"/>
              <w:textAlignment w:val="baseline"/>
              <w:rPr>
                <w:rFonts w:hint="eastAsia" w:asciiTheme="minorEastAsia" w:hAnsiTheme="minorEastAsia" w:eastAsiaTheme="minorEastAsia" w:cstheme="minorEastAsia"/>
                <w:color w:val="auto"/>
                <w:sz w:val="21"/>
                <w:szCs w:val="21"/>
                <w:highlight w:val="none"/>
              </w:rPr>
            </w:pPr>
          </w:p>
          <w:p>
            <w:pPr>
              <w:keepNext w:val="0"/>
              <w:keepLines w:val="0"/>
              <w:pageBreakBefore w:val="0"/>
              <w:widowControl/>
              <w:shd w:val="clear"/>
              <w:kinsoku w:val="0"/>
              <w:wordWrap/>
              <w:overflowPunct/>
              <w:topLinePunct w:val="0"/>
              <w:autoSpaceDE w:val="0"/>
              <w:autoSpaceDN w:val="0"/>
              <w:bidi w:val="0"/>
              <w:adjustRightInd w:val="0"/>
              <w:snapToGrid w:val="0"/>
              <w:spacing w:before="68" w:line="240" w:lineRule="auto"/>
              <w:ind w:left="130" w:right="0" w:hanging="17"/>
              <w:textAlignment w:val="baseline"/>
              <w:rPr>
                <w:rFonts w:hint="eastAsia" w:asciiTheme="minorEastAsia" w:hAnsiTheme="minorEastAsia" w:eastAsiaTheme="minorEastAsia" w:cstheme="minorEastAsia"/>
                <w:color w:val="auto"/>
                <w:sz w:val="21"/>
                <w:szCs w:val="21"/>
                <w:highlight w:val="none"/>
              </w:rPr>
            </w:pPr>
          </w:p>
          <w:p>
            <w:pPr>
              <w:keepNext w:val="0"/>
              <w:keepLines w:val="0"/>
              <w:pageBreakBefore w:val="0"/>
              <w:widowControl/>
              <w:shd w:val="clear"/>
              <w:kinsoku w:val="0"/>
              <w:wordWrap/>
              <w:overflowPunct/>
              <w:topLinePunct w:val="0"/>
              <w:autoSpaceDE w:val="0"/>
              <w:autoSpaceDN w:val="0"/>
              <w:bidi w:val="0"/>
              <w:adjustRightInd w:val="0"/>
              <w:snapToGrid w:val="0"/>
              <w:spacing w:before="68" w:line="240" w:lineRule="auto"/>
              <w:ind w:left="130" w:right="0" w:hanging="17"/>
              <w:textAlignment w:val="baseline"/>
              <w:rPr>
                <w:rFonts w:hint="eastAsia" w:asciiTheme="minorEastAsia" w:hAnsiTheme="minorEastAsia" w:eastAsiaTheme="minorEastAsia" w:cstheme="minorEastAsia"/>
                <w:color w:val="auto"/>
                <w:sz w:val="21"/>
                <w:szCs w:val="21"/>
                <w:highlight w:val="none"/>
              </w:rPr>
            </w:pPr>
          </w:p>
          <w:p>
            <w:pPr>
              <w:keepNext w:val="0"/>
              <w:keepLines w:val="0"/>
              <w:pageBreakBefore w:val="0"/>
              <w:widowControl/>
              <w:shd w:val="clear"/>
              <w:kinsoku w:val="0"/>
              <w:wordWrap/>
              <w:overflowPunct/>
              <w:topLinePunct w:val="0"/>
              <w:autoSpaceDE w:val="0"/>
              <w:autoSpaceDN w:val="0"/>
              <w:bidi w:val="0"/>
              <w:adjustRightInd w:val="0"/>
              <w:snapToGrid w:val="0"/>
              <w:spacing w:before="68" w:line="240" w:lineRule="auto"/>
              <w:ind w:left="130" w:right="0" w:hanging="17"/>
              <w:textAlignment w:val="baseline"/>
              <w:rPr>
                <w:rFonts w:hint="eastAsia" w:asciiTheme="minorEastAsia" w:hAnsiTheme="minorEastAsia" w:eastAsiaTheme="minorEastAsia" w:cstheme="minorEastAsia"/>
                <w:color w:val="auto"/>
                <w:sz w:val="21"/>
                <w:szCs w:val="21"/>
                <w:highlight w:val="none"/>
              </w:rPr>
            </w:pPr>
          </w:p>
          <w:p>
            <w:pPr>
              <w:keepNext w:val="0"/>
              <w:keepLines w:val="0"/>
              <w:pageBreakBefore w:val="0"/>
              <w:widowControl/>
              <w:shd w:val="clear"/>
              <w:kinsoku w:val="0"/>
              <w:wordWrap/>
              <w:overflowPunct/>
              <w:topLinePunct w:val="0"/>
              <w:autoSpaceDE w:val="0"/>
              <w:autoSpaceDN w:val="0"/>
              <w:bidi w:val="0"/>
              <w:adjustRightInd w:val="0"/>
              <w:snapToGrid w:val="0"/>
              <w:spacing w:before="68" w:line="240" w:lineRule="auto"/>
              <w:ind w:left="130" w:right="0" w:hanging="17"/>
              <w:textAlignment w:val="baseline"/>
              <w:rPr>
                <w:rFonts w:hint="eastAsia" w:asciiTheme="minorEastAsia" w:hAnsiTheme="minorEastAsia" w:eastAsiaTheme="minorEastAsia" w:cstheme="minorEastAsia"/>
                <w:color w:val="auto"/>
                <w:sz w:val="21"/>
                <w:szCs w:val="21"/>
                <w:highlight w:val="none"/>
              </w:rPr>
            </w:pPr>
          </w:p>
          <w:p>
            <w:pPr>
              <w:keepNext w:val="0"/>
              <w:keepLines w:val="0"/>
              <w:pageBreakBefore w:val="0"/>
              <w:widowControl/>
              <w:shd w:val="clear"/>
              <w:kinsoku w:val="0"/>
              <w:wordWrap/>
              <w:overflowPunct/>
              <w:topLinePunct w:val="0"/>
              <w:autoSpaceDE w:val="0"/>
              <w:autoSpaceDN w:val="0"/>
              <w:bidi w:val="0"/>
              <w:adjustRightInd w:val="0"/>
              <w:snapToGrid w:val="0"/>
              <w:spacing w:before="68" w:line="240" w:lineRule="auto"/>
              <w:ind w:left="130" w:right="0" w:hanging="17"/>
              <w:textAlignment w:val="baseline"/>
              <w:rPr>
                <w:rFonts w:hint="eastAsia" w:asciiTheme="minorEastAsia" w:hAnsiTheme="minorEastAsia" w:eastAsiaTheme="minorEastAsia" w:cstheme="minorEastAsia"/>
                <w:color w:val="auto"/>
                <w:sz w:val="21"/>
                <w:szCs w:val="21"/>
                <w:highlight w:val="none"/>
              </w:rPr>
            </w:pPr>
          </w:p>
          <w:p>
            <w:pPr>
              <w:keepNext w:val="0"/>
              <w:keepLines w:val="0"/>
              <w:pageBreakBefore w:val="0"/>
              <w:widowControl/>
              <w:shd w:val="clear"/>
              <w:kinsoku w:val="0"/>
              <w:wordWrap/>
              <w:overflowPunct/>
              <w:topLinePunct w:val="0"/>
              <w:autoSpaceDE w:val="0"/>
              <w:autoSpaceDN w:val="0"/>
              <w:bidi w:val="0"/>
              <w:adjustRightInd w:val="0"/>
              <w:snapToGrid w:val="0"/>
              <w:spacing w:before="68" w:line="240" w:lineRule="auto"/>
              <w:ind w:left="130" w:right="0" w:hanging="17"/>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eastAsia="zh-CN"/>
              </w:rPr>
              <w:t>提供方案放入投标文件中，未提供方案的不得分（方案页码</w:t>
            </w:r>
            <w:r>
              <w:rPr>
                <w:rFonts w:hint="eastAsia" w:asciiTheme="minorEastAsia" w:hAnsiTheme="minorEastAsia" w:cstheme="minorEastAsia"/>
                <w:color w:val="auto"/>
                <w:sz w:val="21"/>
                <w:szCs w:val="21"/>
                <w:highlight w:val="none"/>
                <w:lang w:val="en-US" w:eastAsia="zh-CN"/>
              </w:rPr>
              <w:t>不</w:t>
            </w:r>
            <w:r>
              <w:rPr>
                <w:rFonts w:hint="eastAsia" w:asciiTheme="minorEastAsia" w:hAnsiTheme="minorEastAsia" w:eastAsiaTheme="minorEastAsia" w:cstheme="minorEastAsia"/>
                <w:color w:val="auto"/>
                <w:sz w:val="21"/>
                <w:szCs w:val="21"/>
                <w:highlight w:val="none"/>
                <w:lang w:val="zh-CN" w:eastAsia="zh-CN"/>
              </w:rPr>
              <w:t>超</w:t>
            </w:r>
            <w:r>
              <w:rPr>
                <w:rFonts w:hint="eastAsia" w:asciiTheme="minorEastAsia" w:hAnsiTheme="minorEastAsia" w:cstheme="minorEastAsia"/>
                <w:color w:val="auto"/>
                <w:sz w:val="21"/>
                <w:szCs w:val="21"/>
                <w:highlight w:val="none"/>
                <w:lang w:val="en-US" w:eastAsia="zh-CN"/>
              </w:rPr>
              <w:t>过</w:t>
            </w:r>
            <w:r>
              <w:rPr>
                <w:rFonts w:hint="eastAsia" w:asciiTheme="minorEastAsia" w:hAnsi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lang w:val="zh-CN" w:eastAsia="zh-CN"/>
              </w:rPr>
              <w:t>页</w:t>
            </w:r>
            <w:r>
              <w:rPr>
                <w:rFonts w:hint="eastAsia" w:asciiTheme="minorEastAsia" w:hAnsiTheme="minorEastAsia" w:eastAsiaTheme="minorEastAsia" w:cstheme="minorEastAsia"/>
                <w:color w:val="auto"/>
                <w:sz w:val="21"/>
                <w:szCs w:val="21"/>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Ex>
        <w:trPr>
          <w:trHeight w:val="2030" w:hRule="atLeast"/>
        </w:trPr>
        <w:tc>
          <w:tcPr>
            <w:tcW w:w="563" w:type="dxa"/>
            <w:vMerge w:val="continue"/>
            <w:tcBorders>
              <w:top w:val="single" w:color="000000" w:sz="2" w:space="0"/>
              <w:bottom w:val="single" w:color="000000" w:sz="2" w:space="0"/>
            </w:tcBorders>
            <w:shd w:val="clear" w:color="auto" w:fill="auto"/>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c>
          <w:tcPr>
            <w:tcW w:w="847" w:type="dxa"/>
            <w:vMerge w:val="continue"/>
            <w:tcBorders>
              <w:top w:val="single" w:color="000000" w:sz="2" w:space="0"/>
              <w:bottom w:val="single" w:color="000000" w:sz="2" w:space="0"/>
            </w:tcBorders>
            <w:shd w:val="clear" w:color="auto" w:fill="auto"/>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c>
          <w:tcPr>
            <w:tcW w:w="6554" w:type="dxa"/>
            <w:shd w:val="clear" w:color="auto" w:fill="auto"/>
            <w:vAlign w:val="top"/>
          </w:tcPr>
          <w:p>
            <w:pPr>
              <w:numPr>
                <w:ilvl w:val="0"/>
                <w:numId w:val="0"/>
              </w:numPr>
              <w:shd w:val="clea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2、针对本项目造价信息上没有的信息价，提供询价渠道来源方案，评标委员会对供应商提供的内容进行打分。（</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val="zh-CN" w:eastAsia="zh-CN"/>
              </w:rPr>
              <w:t>分）：</w:t>
            </w:r>
          </w:p>
          <w:p>
            <w:pPr>
              <w:numPr>
                <w:ilvl w:val="0"/>
                <w:numId w:val="0"/>
              </w:numPr>
              <w:shd w:val="clea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①措施完整、流程合理、重点突出、与项目实际需求贴合的得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val="zh-CN" w:eastAsia="zh-CN"/>
              </w:rPr>
              <w:t>分；</w:t>
            </w:r>
          </w:p>
          <w:p>
            <w:pPr>
              <w:numPr>
                <w:ilvl w:val="0"/>
                <w:numId w:val="0"/>
              </w:numPr>
              <w:shd w:val="clea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②措施满足项目实际需求，流程较合理的得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分；</w:t>
            </w:r>
          </w:p>
          <w:p>
            <w:pPr>
              <w:numPr>
                <w:ilvl w:val="0"/>
                <w:numId w:val="0"/>
              </w:numPr>
              <w:shd w:val="clea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③措施内容有待提高，但能部分满足项目需求的得</w:t>
            </w:r>
            <w:r>
              <w:rPr>
                <w:rFonts w:hint="eastAsia" w:asciiTheme="minorEastAsia" w:hAnsiTheme="minorEastAsia" w:cstheme="minorEastAsia"/>
                <w:color w:val="auto"/>
                <w:sz w:val="21"/>
                <w:szCs w:val="21"/>
                <w:highlight w:val="none"/>
                <w:lang w:val="en-US" w:eastAsia="zh-CN"/>
              </w:rPr>
              <w:t>（大于0）-</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zh-CN" w:eastAsia="zh-CN"/>
              </w:rPr>
              <w:t>分；</w:t>
            </w:r>
          </w:p>
          <w:p>
            <w:pPr>
              <w:pStyle w:val="10"/>
              <w:shd w:val="clear"/>
              <w:ind w:left="0" w:leftChars="0" w:firstLine="0" w:firstLineChars="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④</w:t>
            </w:r>
            <w:r>
              <w:rPr>
                <w:rFonts w:hint="eastAsia" w:asciiTheme="minorEastAsia" w:hAnsiTheme="minorEastAsia" w:eastAsiaTheme="minorEastAsia" w:cstheme="minorEastAsia"/>
                <w:color w:val="auto"/>
                <w:sz w:val="21"/>
                <w:szCs w:val="21"/>
                <w:highlight w:val="none"/>
                <w:lang w:val="zh-CN" w:eastAsia="zh-CN"/>
              </w:rPr>
              <w:t>措施</w:t>
            </w:r>
            <w:r>
              <w:rPr>
                <w:rFonts w:hint="eastAsia" w:asciiTheme="minorEastAsia" w:hAnsiTheme="minorEastAsia" w:eastAsiaTheme="minorEastAsia" w:cstheme="minorEastAsia"/>
                <w:bCs w:val="0"/>
                <w:color w:val="auto"/>
                <w:sz w:val="21"/>
                <w:szCs w:val="21"/>
                <w:highlight w:val="none"/>
                <w:lang w:val="zh-CN" w:eastAsia="zh-CN" w:bidi="ar-SA"/>
              </w:rPr>
              <w:t>不可行或未提供不得分。</w:t>
            </w:r>
          </w:p>
        </w:tc>
        <w:tc>
          <w:tcPr>
            <w:tcW w:w="1433" w:type="dxa"/>
            <w:vMerge w:val="continue"/>
            <w:tcBorders>
              <w:top w:val="single" w:color="000000" w:sz="2" w:space="0"/>
              <w:bottom w:val="single" w:color="000000" w:sz="2" w:space="0"/>
            </w:tcBorders>
            <w:shd w:val="clear" w:color="auto" w:fill="auto"/>
            <w:vAlign w:val="top"/>
          </w:tcPr>
          <w:p>
            <w:pPr>
              <w:keepNext w:val="0"/>
              <w:keepLines w:val="0"/>
              <w:pageBreakBefore w:val="0"/>
              <w:widowControl/>
              <w:shd w:val="clear"/>
              <w:kinsoku w:val="0"/>
              <w:wordWrap/>
              <w:overflowPunct/>
              <w:topLinePunct w:val="0"/>
              <w:autoSpaceDE w:val="0"/>
              <w:autoSpaceDN w:val="0"/>
              <w:bidi w:val="0"/>
              <w:adjustRightInd w:val="0"/>
              <w:snapToGrid w:val="0"/>
              <w:spacing w:before="68" w:line="240" w:lineRule="auto"/>
              <w:ind w:left="130" w:right="0" w:hanging="17"/>
              <w:textAlignment w:val="baseline"/>
              <w:rPr>
                <w:rFonts w:hint="eastAsia" w:asciiTheme="minorEastAsia" w:hAnsiTheme="minorEastAsia" w:eastAsiaTheme="minorEastAsia" w:cstheme="minorEastAsia"/>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Ex>
        <w:trPr>
          <w:trHeight w:val="1967" w:hRule="atLeast"/>
        </w:trPr>
        <w:tc>
          <w:tcPr>
            <w:tcW w:w="563" w:type="dxa"/>
            <w:vMerge w:val="continue"/>
            <w:tcBorders>
              <w:top w:val="single" w:color="000000" w:sz="2" w:space="0"/>
              <w:bottom w:val="single" w:color="000000" w:sz="2" w:space="0"/>
            </w:tcBorders>
            <w:shd w:val="clear" w:color="auto" w:fill="auto"/>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c>
          <w:tcPr>
            <w:tcW w:w="847" w:type="dxa"/>
            <w:vMerge w:val="continue"/>
            <w:tcBorders>
              <w:top w:val="single" w:color="000000" w:sz="2" w:space="0"/>
              <w:bottom w:val="single" w:color="000000" w:sz="2" w:space="0"/>
            </w:tcBorders>
            <w:shd w:val="clear" w:color="auto" w:fill="auto"/>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c>
          <w:tcPr>
            <w:tcW w:w="6554" w:type="dxa"/>
            <w:shd w:val="clear" w:color="auto" w:fill="auto"/>
            <w:vAlign w:val="top"/>
          </w:tcPr>
          <w:p>
            <w:pPr>
              <w:numPr>
                <w:ilvl w:val="0"/>
                <w:numId w:val="0"/>
              </w:numPr>
              <w:shd w:val="clea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3、对项目进度承诺、进度控制保证措施及违反进度承诺的处罚措施，进行评分。（</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val="zh-CN" w:eastAsia="zh-CN"/>
              </w:rPr>
              <w:t>分）：</w:t>
            </w:r>
          </w:p>
          <w:p>
            <w:pPr>
              <w:numPr>
                <w:ilvl w:val="0"/>
                <w:numId w:val="0"/>
              </w:numPr>
              <w:shd w:val="clea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①措施完整、流程合理、重点突出、与项目实际需求贴合的得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val="zh-CN" w:eastAsia="zh-CN"/>
              </w:rPr>
              <w:t>分；</w:t>
            </w:r>
          </w:p>
          <w:p>
            <w:pPr>
              <w:numPr>
                <w:ilvl w:val="0"/>
                <w:numId w:val="0"/>
              </w:numPr>
              <w:shd w:val="clea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②措施满足项目实际需求，流程较合理的得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分；</w:t>
            </w:r>
          </w:p>
          <w:p>
            <w:pPr>
              <w:numPr>
                <w:ilvl w:val="0"/>
                <w:numId w:val="0"/>
              </w:numPr>
              <w:shd w:val="clea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③措施内容有待提高，但能部分满足项目需求的得</w:t>
            </w:r>
            <w:r>
              <w:rPr>
                <w:rFonts w:hint="eastAsia" w:asciiTheme="minorEastAsia" w:hAnsiTheme="minorEastAsia" w:cstheme="minorEastAsia"/>
                <w:color w:val="auto"/>
                <w:sz w:val="21"/>
                <w:szCs w:val="21"/>
                <w:highlight w:val="none"/>
                <w:lang w:val="en-US" w:eastAsia="zh-CN"/>
              </w:rPr>
              <w:t>（大于0）-</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zh-CN" w:eastAsia="zh-CN"/>
              </w:rPr>
              <w:t>分。</w:t>
            </w:r>
          </w:p>
          <w:p>
            <w:pPr>
              <w:pStyle w:val="10"/>
              <w:shd w:val="clear"/>
              <w:ind w:left="0" w:leftChars="0" w:firstLine="0" w:firstLineChars="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④</w:t>
            </w:r>
            <w:r>
              <w:rPr>
                <w:rFonts w:hint="eastAsia" w:asciiTheme="minorEastAsia" w:hAnsiTheme="minorEastAsia" w:eastAsiaTheme="minorEastAsia" w:cstheme="minorEastAsia"/>
                <w:color w:val="auto"/>
                <w:sz w:val="21"/>
                <w:szCs w:val="21"/>
                <w:highlight w:val="none"/>
                <w:lang w:val="zh-CN" w:eastAsia="zh-CN"/>
              </w:rPr>
              <w:t>措施</w:t>
            </w:r>
            <w:r>
              <w:rPr>
                <w:rFonts w:hint="eastAsia" w:asciiTheme="minorEastAsia" w:hAnsiTheme="minorEastAsia" w:eastAsiaTheme="minorEastAsia" w:cstheme="minorEastAsia"/>
                <w:bCs w:val="0"/>
                <w:color w:val="auto"/>
                <w:sz w:val="21"/>
                <w:szCs w:val="21"/>
                <w:highlight w:val="none"/>
                <w:lang w:val="zh-CN" w:eastAsia="zh-CN" w:bidi="ar-SA"/>
              </w:rPr>
              <w:t>不可行或未提供不得分。</w:t>
            </w:r>
          </w:p>
        </w:tc>
        <w:tc>
          <w:tcPr>
            <w:tcW w:w="1433" w:type="dxa"/>
            <w:vMerge w:val="continue"/>
            <w:tcBorders>
              <w:top w:val="single" w:color="000000" w:sz="2" w:space="0"/>
              <w:bottom w:val="single" w:color="000000" w:sz="2" w:space="0"/>
            </w:tcBorders>
            <w:shd w:val="clear" w:color="auto" w:fill="auto"/>
            <w:vAlign w:val="top"/>
          </w:tcPr>
          <w:p>
            <w:pPr>
              <w:keepNext w:val="0"/>
              <w:keepLines w:val="0"/>
              <w:pageBreakBefore w:val="0"/>
              <w:widowControl/>
              <w:shd w:val="clear"/>
              <w:kinsoku w:val="0"/>
              <w:wordWrap/>
              <w:overflowPunct/>
              <w:topLinePunct w:val="0"/>
              <w:autoSpaceDE w:val="0"/>
              <w:autoSpaceDN w:val="0"/>
              <w:bidi w:val="0"/>
              <w:adjustRightInd w:val="0"/>
              <w:snapToGrid w:val="0"/>
              <w:spacing w:before="68" w:line="240" w:lineRule="auto"/>
              <w:ind w:left="130" w:right="0" w:hanging="17"/>
              <w:textAlignment w:val="baseline"/>
              <w:rPr>
                <w:rFonts w:hint="eastAsia" w:asciiTheme="minorEastAsia" w:hAnsiTheme="minorEastAsia" w:eastAsiaTheme="minorEastAsia" w:cstheme="minorEastAsia"/>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Ex>
        <w:trPr>
          <w:trHeight w:val="90" w:hRule="atLeast"/>
        </w:trPr>
        <w:tc>
          <w:tcPr>
            <w:tcW w:w="563" w:type="dxa"/>
            <w:vMerge w:val="continue"/>
            <w:tcBorders>
              <w:top w:val="single" w:color="000000" w:sz="2" w:space="0"/>
              <w:bottom w:val="single" w:color="000000" w:sz="2" w:space="0"/>
            </w:tcBorders>
            <w:shd w:val="clear" w:color="auto" w:fill="auto"/>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c>
          <w:tcPr>
            <w:tcW w:w="847" w:type="dxa"/>
            <w:vMerge w:val="continue"/>
            <w:tcBorders>
              <w:top w:val="single" w:color="000000" w:sz="2" w:space="0"/>
              <w:bottom w:val="single" w:color="000000" w:sz="2" w:space="0"/>
            </w:tcBorders>
            <w:shd w:val="clear" w:color="auto" w:fill="auto"/>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c>
          <w:tcPr>
            <w:tcW w:w="6554" w:type="dxa"/>
            <w:shd w:val="clear" w:color="auto" w:fill="auto"/>
            <w:vAlign w:val="top"/>
          </w:tcPr>
          <w:p>
            <w:pPr>
              <w:numPr>
                <w:ilvl w:val="0"/>
                <w:numId w:val="0"/>
              </w:numPr>
              <w:shd w:val="clea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4、对质量承诺、质量控制保证措施及违反质量承诺的处罚措施，进行评分（</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val="zh-CN" w:eastAsia="zh-CN"/>
              </w:rPr>
              <w:t>分）：</w:t>
            </w:r>
          </w:p>
          <w:p>
            <w:pPr>
              <w:numPr>
                <w:ilvl w:val="0"/>
                <w:numId w:val="0"/>
              </w:numPr>
              <w:shd w:val="clea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①措施完整、流程合理、重点突出、与项目实际需求贴合的得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val="zh-CN" w:eastAsia="zh-CN"/>
              </w:rPr>
              <w:t>分；</w:t>
            </w:r>
          </w:p>
          <w:p>
            <w:pPr>
              <w:numPr>
                <w:ilvl w:val="0"/>
                <w:numId w:val="0"/>
              </w:numPr>
              <w:shd w:val="clea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②措施满足项目实际需求，流程较合理的得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分；</w:t>
            </w:r>
          </w:p>
          <w:p>
            <w:pPr>
              <w:numPr>
                <w:ilvl w:val="0"/>
                <w:numId w:val="0"/>
              </w:numPr>
              <w:shd w:val="clea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③措施内容有待提高，但能部分满足项目需求的得</w:t>
            </w:r>
            <w:r>
              <w:rPr>
                <w:rFonts w:hint="eastAsia" w:asciiTheme="minorEastAsia" w:hAnsiTheme="minorEastAsia" w:cstheme="minorEastAsia"/>
                <w:color w:val="auto"/>
                <w:sz w:val="21"/>
                <w:szCs w:val="21"/>
                <w:highlight w:val="none"/>
                <w:lang w:val="en-US" w:eastAsia="zh-CN"/>
              </w:rPr>
              <w:t>（大于0）-</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zh-CN" w:eastAsia="zh-CN"/>
              </w:rPr>
              <w:t>分。</w:t>
            </w:r>
          </w:p>
          <w:p>
            <w:pPr>
              <w:pStyle w:val="10"/>
              <w:shd w:val="clear"/>
              <w:ind w:left="0" w:leftChars="0"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④</w:t>
            </w:r>
            <w:r>
              <w:rPr>
                <w:rFonts w:hint="eastAsia" w:asciiTheme="minorEastAsia" w:hAnsiTheme="minorEastAsia" w:eastAsiaTheme="minorEastAsia" w:cstheme="minorEastAsia"/>
                <w:color w:val="auto"/>
                <w:sz w:val="21"/>
                <w:szCs w:val="21"/>
                <w:highlight w:val="none"/>
                <w:lang w:val="zh-CN" w:eastAsia="zh-CN"/>
              </w:rPr>
              <w:t>措施</w:t>
            </w:r>
            <w:r>
              <w:rPr>
                <w:rFonts w:hint="eastAsia" w:asciiTheme="minorEastAsia" w:hAnsiTheme="minorEastAsia" w:eastAsiaTheme="minorEastAsia" w:cstheme="minorEastAsia"/>
                <w:bCs w:val="0"/>
                <w:color w:val="auto"/>
                <w:sz w:val="21"/>
                <w:szCs w:val="21"/>
                <w:highlight w:val="none"/>
                <w:lang w:val="zh-CN" w:eastAsia="zh-CN" w:bidi="ar-SA"/>
              </w:rPr>
              <w:t>不可行或未提供不得分。</w:t>
            </w:r>
          </w:p>
        </w:tc>
        <w:tc>
          <w:tcPr>
            <w:tcW w:w="1433" w:type="dxa"/>
            <w:vMerge w:val="continue"/>
            <w:tcBorders>
              <w:top w:val="single" w:color="000000" w:sz="2" w:space="0"/>
              <w:bottom w:val="single" w:color="000000" w:sz="2" w:space="0"/>
            </w:tcBorders>
            <w:shd w:val="clear" w:color="auto" w:fill="auto"/>
            <w:vAlign w:val="top"/>
          </w:tcPr>
          <w:p>
            <w:pPr>
              <w:keepNext w:val="0"/>
              <w:keepLines w:val="0"/>
              <w:pageBreakBefore w:val="0"/>
              <w:widowControl/>
              <w:shd w:val="clear"/>
              <w:kinsoku w:val="0"/>
              <w:wordWrap/>
              <w:overflowPunct/>
              <w:topLinePunct w:val="0"/>
              <w:autoSpaceDE w:val="0"/>
              <w:autoSpaceDN w:val="0"/>
              <w:bidi w:val="0"/>
              <w:adjustRightInd w:val="0"/>
              <w:snapToGrid w:val="0"/>
              <w:spacing w:before="68" w:line="240" w:lineRule="auto"/>
              <w:ind w:left="130" w:right="0" w:hanging="17"/>
              <w:textAlignment w:val="baseline"/>
              <w:rPr>
                <w:rFonts w:hint="eastAsia" w:asciiTheme="minorEastAsia" w:hAnsiTheme="minorEastAsia" w:eastAsiaTheme="minorEastAsia" w:cstheme="minorEastAsia"/>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Ex>
        <w:trPr>
          <w:trHeight w:val="2055" w:hRule="atLeast"/>
        </w:trPr>
        <w:tc>
          <w:tcPr>
            <w:tcW w:w="563" w:type="dxa"/>
            <w:vMerge w:val="continue"/>
            <w:tcBorders>
              <w:top w:val="single" w:color="000000" w:sz="2" w:space="0"/>
              <w:bottom w:val="single" w:color="000000" w:sz="2" w:space="0"/>
            </w:tcBorders>
            <w:shd w:val="clear" w:color="auto" w:fill="auto"/>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c>
          <w:tcPr>
            <w:tcW w:w="847" w:type="dxa"/>
            <w:vMerge w:val="continue"/>
            <w:tcBorders>
              <w:top w:val="single" w:color="000000" w:sz="2" w:space="0"/>
              <w:bottom w:val="single" w:color="000000" w:sz="2" w:space="0"/>
            </w:tcBorders>
            <w:shd w:val="clear" w:color="auto" w:fill="auto"/>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c>
          <w:tcPr>
            <w:tcW w:w="6554" w:type="dxa"/>
            <w:shd w:val="clear" w:color="auto" w:fill="auto"/>
            <w:vAlign w:val="top"/>
          </w:tcPr>
          <w:p>
            <w:pPr>
              <w:numPr>
                <w:ilvl w:val="0"/>
                <w:numId w:val="0"/>
              </w:numPr>
              <w:shd w:val="clea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需制定科学、完整的项目重难点分析方案，方案应包含：对项目重点难点分析的全面性，条理清晰度及应对措施合理性等（</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val="zh-CN" w:eastAsia="zh-CN"/>
              </w:rPr>
              <w:t>分）：</w:t>
            </w:r>
          </w:p>
          <w:p>
            <w:pPr>
              <w:numPr>
                <w:ilvl w:val="0"/>
                <w:numId w:val="0"/>
              </w:numPr>
              <w:shd w:val="clea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①科学、合理、详尽，符合项目实际，可行性强的得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val="zh-CN" w:eastAsia="zh-CN"/>
              </w:rPr>
              <w:t>分；</w:t>
            </w:r>
          </w:p>
          <w:p>
            <w:pPr>
              <w:numPr>
                <w:ilvl w:val="0"/>
                <w:numId w:val="0"/>
              </w:numPr>
              <w:shd w:val="clea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②能够满足项目要求， 内容全面、合理的得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分；</w:t>
            </w:r>
          </w:p>
          <w:p>
            <w:pPr>
              <w:numPr>
                <w:ilvl w:val="0"/>
                <w:numId w:val="0"/>
              </w:numPr>
              <w:shd w:val="clea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③有一定内容，但需进一步完善的得</w:t>
            </w:r>
            <w:r>
              <w:rPr>
                <w:rFonts w:hint="eastAsia" w:asciiTheme="minorEastAsia" w:hAnsiTheme="minorEastAsia" w:cstheme="minorEastAsia"/>
                <w:color w:val="auto"/>
                <w:sz w:val="21"/>
                <w:szCs w:val="21"/>
                <w:highlight w:val="none"/>
                <w:lang w:val="en-US" w:eastAsia="zh-CN"/>
              </w:rPr>
              <w:t>（大于0）-</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zh-CN" w:eastAsia="zh-CN"/>
              </w:rPr>
              <w:t>分。</w:t>
            </w:r>
          </w:p>
          <w:p>
            <w:pPr>
              <w:pStyle w:val="10"/>
              <w:shd w:val="clear"/>
              <w:ind w:left="0" w:leftChars="0"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④</w:t>
            </w:r>
            <w:r>
              <w:rPr>
                <w:rFonts w:hint="eastAsia" w:asciiTheme="minorEastAsia" w:hAnsiTheme="minorEastAsia" w:eastAsiaTheme="minorEastAsia" w:cstheme="minorEastAsia"/>
                <w:bCs w:val="0"/>
                <w:color w:val="auto"/>
                <w:sz w:val="21"/>
                <w:szCs w:val="21"/>
                <w:highlight w:val="none"/>
                <w:lang w:val="zh-CN" w:eastAsia="zh-CN" w:bidi="ar-SA"/>
              </w:rPr>
              <w:t>方案不可行或未提供不得分。</w:t>
            </w:r>
          </w:p>
        </w:tc>
        <w:tc>
          <w:tcPr>
            <w:tcW w:w="1433" w:type="dxa"/>
            <w:vMerge w:val="continue"/>
            <w:tcBorders>
              <w:top w:val="single" w:color="000000" w:sz="2" w:space="0"/>
              <w:bottom w:val="single" w:color="000000" w:sz="2" w:space="0"/>
            </w:tcBorders>
            <w:shd w:val="clear" w:color="auto" w:fill="auto"/>
            <w:vAlign w:val="top"/>
          </w:tcPr>
          <w:p>
            <w:pPr>
              <w:keepNext w:val="0"/>
              <w:keepLines w:val="0"/>
              <w:pageBreakBefore w:val="0"/>
              <w:widowControl/>
              <w:shd w:val="clear"/>
              <w:kinsoku w:val="0"/>
              <w:wordWrap/>
              <w:overflowPunct/>
              <w:topLinePunct w:val="0"/>
              <w:autoSpaceDE w:val="0"/>
              <w:autoSpaceDN w:val="0"/>
              <w:bidi w:val="0"/>
              <w:adjustRightInd w:val="0"/>
              <w:snapToGrid w:val="0"/>
              <w:spacing w:before="68" w:line="240" w:lineRule="auto"/>
              <w:ind w:left="130" w:right="0" w:hanging="17"/>
              <w:textAlignment w:val="baseline"/>
              <w:rPr>
                <w:rFonts w:hint="eastAsia" w:asciiTheme="minorEastAsia" w:hAnsiTheme="minorEastAsia" w:eastAsiaTheme="minorEastAsia" w:cstheme="minorEastAsia"/>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Ex>
        <w:trPr>
          <w:trHeight w:val="4825" w:hRule="atLeast"/>
        </w:trPr>
        <w:tc>
          <w:tcPr>
            <w:tcW w:w="563" w:type="dxa"/>
            <w:shd w:val="clear" w:color="auto" w:fill="auto"/>
            <w:vAlign w:val="center"/>
          </w:tcPr>
          <w:p>
            <w:pPr>
              <w:shd w:val="clear"/>
              <w:spacing w:before="68" w:line="240" w:lineRule="auto"/>
              <w:ind w:left="346"/>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847" w:type="dxa"/>
            <w:shd w:val="clear" w:color="auto" w:fill="auto"/>
            <w:vAlign w:val="center"/>
          </w:tcPr>
          <w:p>
            <w:pPr>
              <w:numPr>
                <w:ilvl w:val="0"/>
                <w:numId w:val="0"/>
              </w:numPr>
              <w:shd w:val="clear"/>
              <w:autoSpaceDE w:val="0"/>
              <w:autoSpaceDN w:val="0"/>
              <w:adjustRightIn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人员配备</w:t>
            </w:r>
          </w:p>
          <w:p>
            <w:pPr>
              <w:numPr>
                <w:ilvl w:val="0"/>
                <w:numId w:val="0"/>
              </w:numPr>
              <w:shd w:val="clear"/>
              <w:autoSpaceDE w:val="0"/>
              <w:autoSpaceDN w:val="0"/>
              <w:adjustRightIn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val="en-US" w:eastAsia="zh-CN"/>
              </w:rPr>
              <w:t>分</w:t>
            </w:r>
          </w:p>
        </w:tc>
        <w:tc>
          <w:tcPr>
            <w:tcW w:w="6554" w:type="dxa"/>
            <w:shd w:val="clear" w:color="auto" w:fill="auto"/>
            <w:vAlign w:val="center"/>
          </w:tcPr>
          <w:p>
            <w:pPr>
              <w:numPr>
                <w:ilvl w:val="0"/>
                <w:numId w:val="0"/>
              </w:numPr>
              <w:shd w:val="clea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1、拟派项目负责人（</w:t>
            </w:r>
            <w:r>
              <w:rPr>
                <w:rFonts w:hint="eastAsia" w:asciiTheme="minorEastAsia" w:hAnsi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en-US" w:eastAsia="zh-CN"/>
              </w:rPr>
              <w:t>分）</w:t>
            </w:r>
          </w:p>
          <w:p>
            <w:pPr>
              <w:numPr>
                <w:ilvl w:val="0"/>
                <w:numId w:val="0"/>
              </w:numPr>
              <w:shd w:val="clea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eastAsia="zh-CN"/>
              </w:rPr>
              <w:t>具有</w:t>
            </w:r>
            <w:r>
              <w:rPr>
                <w:rFonts w:hint="eastAsia" w:asciiTheme="minorEastAsia" w:hAnsiTheme="minorEastAsia" w:eastAsiaTheme="minorEastAsia" w:cstheme="minorEastAsia"/>
                <w:color w:val="auto"/>
                <w:sz w:val="21"/>
                <w:szCs w:val="21"/>
                <w:highlight w:val="none"/>
                <w:lang w:val="en-US" w:eastAsia="zh-CN"/>
              </w:rPr>
              <w:t>工程造价专业</w:t>
            </w:r>
            <w:r>
              <w:rPr>
                <w:rFonts w:hint="eastAsia" w:asciiTheme="minorEastAsia" w:hAnsiTheme="minorEastAsia" w:cstheme="minorEastAsia"/>
                <w:color w:val="auto"/>
                <w:sz w:val="21"/>
                <w:szCs w:val="21"/>
                <w:highlight w:val="none"/>
                <w:lang w:val="en-US" w:eastAsia="zh-CN"/>
              </w:rPr>
              <w:t>高</w:t>
            </w:r>
            <w:r>
              <w:rPr>
                <w:rFonts w:hint="eastAsia" w:asciiTheme="minorEastAsia" w:hAnsiTheme="minorEastAsia" w:eastAsiaTheme="minorEastAsia" w:cstheme="minorEastAsia"/>
                <w:color w:val="auto"/>
                <w:sz w:val="21"/>
                <w:szCs w:val="21"/>
                <w:highlight w:val="none"/>
                <w:lang w:val="en-US" w:eastAsia="zh-CN"/>
              </w:rPr>
              <w:t>级职称的得</w:t>
            </w:r>
            <w:r>
              <w:rPr>
                <w:rFonts w:hint="eastAsia" w:asciiTheme="minorEastAsia" w:hAnsi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en-US" w:eastAsia="zh-CN"/>
              </w:rPr>
              <w:t>分，本项满分</w:t>
            </w:r>
            <w:r>
              <w:rPr>
                <w:rFonts w:hint="eastAsia" w:asciiTheme="minorEastAsia" w:hAnsi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en-US" w:eastAsia="zh-CN"/>
              </w:rPr>
              <w:t>分；</w:t>
            </w:r>
          </w:p>
          <w:p>
            <w:pPr>
              <w:numPr>
                <w:ilvl w:val="0"/>
                <w:numId w:val="0"/>
              </w:numPr>
              <w:shd w:val="clea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注：拟派项目负责人须是投标人单位在职员工，并提供拟派项目负责人开标截止时间前半年内在该投标单位连续三个月的社保缴纳证明或退休相关证明</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或</w:t>
            </w:r>
            <w:r>
              <w:rPr>
                <w:rFonts w:hint="eastAsia" w:asciiTheme="minorEastAsia" w:hAnsiTheme="minorEastAsia" w:eastAsiaTheme="minorEastAsia" w:cstheme="minorEastAsia"/>
                <w:color w:val="auto"/>
                <w:kern w:val="2"/>
                <w:sz w:val="21"/>
                <w:szCs w:val="21"/>
                <w:highlight w:val="none"/>
                <w:lang w:eastAsia="zh-CN"/>
              </w:rPr>
              <w:t>养老金发放证明)</w:t>
            </w:r>
            <w:r>
              <w:rPr>
                <w:rFonts w:hint="eastAsia" w:asciiTheme="minorEastAsia" w:hAnsiTheme="minorEastAsia" w:eastAsiaTheme="minorEastAsia" w:cstheme="minorEastAsia"/>
                <w:color w:val="auto"/>
                <w:sz w:val="21"/>
                <w:szCs w:val="21"/>
                <w:highlight w:val="none"/>
                <w:lang w:val="en-US" w:eastAsia="zh-CN"/>
              </w:rPr>
              <w:t>和合同，否则不得分</w:t>
            </w:r>
            <w:r>
              <w:rPr>
                <w:rFonts w:hint="eastAsia" w:asciiTheme="minorEastAsia" w:hAnsiTheme="minorEastAsia" w:eastAsiaTheme="minorEastAsia" w:cstheme="minorEastAsia"/>
                <w:color w:val="auto"/>
                <w:sz w:val="21"/>
                <w:szCs w:val="21"/>
                <w:highlight w:val="none"/>
                <w:lang w:val="zh-CN" w:eastAsia="zh-CN"/>
              </w:rPr>
              <w:t>；</w:t>
            </w:r>
          </w:p>
          <w:p>
            <w:pPr>
              <w:numPr>
                <w:ilvl w:val="0"/>
                <w:numId w:val="0"/>
              </w:numPr>
              <w:shd w:val="clea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2、拟投入本项目小组成员（</w:t>
            </w:r>
            <w:r>
              <w:rPr>
                <w:rFonts w:hint="eastAsia" w:asciiTheme="minorEastAsia" w:hAnsi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lang w:val="en-US" w:eastAsia="zh-CN"/>
              </w:rPr>
              <w:t>分）：</w:t>
            </w:r>
          </w:p>
          <w:p>
            <w:pPr>
              <w:numPr>
                <w:ilvl w:val="0"/>
                <w:numId w:val="0"/>
              </w:numPr>
              <w:shd w:val="clea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①拟投入本项目小组人员中（不含项目负责人）具有相关主管部门认可的造价师</w:t>
            </w:r>
            <w:r>
              <w:rPr>
                <w:rFonts w:hint="eastAsia" w:hAnsi="宋体" w:cs="宋体"/>
                <w:bCs/>
                <w:snapToGrid w:val="0"/>
                <w:color w:val="auto"/>
                <w:szCs w:val="21"/>
                <w:highlight w:val="none"/>
              </w:rPr>
              <w:t>执业资格</w:t>
            </w:r>
            <w:r>
              <w:rPr>
                <w:rFonts w:hint="eastAsia" w:asciiTheme="minorEastAsia" w:hAnsiTheme="minorEastAsia" w:eastAsiaTheme="minorEastAsia" w:cstheme="minorEastAsia"/>
                <w:color w:val="auto"/>
                <w:sz w:val="21"/>
                <w:szCs w:val="21"/>
                <w:highlight w:val="none"/>
                <w:lang w:val="zh-CN" w:eastAsia="zh-CN"/>
              </w:rPr>
              <w:t>，每有一个得3分，本项满分</w:t>
            </w:r>
            <w:r>
              <w:rPr>
                <w:rFonts w:hint="eastAsia" w:asciiTheme="minorEastAsia" w:hAnsi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zh-CN" w:eastAsia="zh-CN"/>
              </w:rPr>
              <w:t>分。</w:t>
            </w:r>
          </w:p>
          <w:p>
            <w:pPr>
              <w:numPr>
                <w:ilvl w:val="0"/>
                <w:numId w:val="0"/>
              </w:numPr>
              <w:shd w:val="clea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eastAsia="zh-CN"/>
              </w:rPr>
              <w:t>②</w:t>
            </w:r>
            <w:r>
              <w:rPr>
                <w:rFonts w:hint="eastAsia" w:asciiTheme="minorEastAsia" w:hAnsiTheme="minorEastAsia" w:eastAsiaTheme="minorEastAsia" w:cstheme="minorEastAsia"/>
                <w:color w:val="auto"/>
                <w:sz w:val="21"/>
                <w:szCs w:val="21"/>
                <w:highlight w:val="none"/>
                <w:lang w:val="en-US" w:eastAsia="zh-CN"/>
              </w:rPr>
              <w:t>拟投入本项目小组人员中（不含项目负责人）具有中级及以上职称，每有一个得3分，本项满分3分。</w:t>
            </w:r>
          </w:p>
          <w:p>
            <w:pPr>
              <w:numPr>
                <w:ilvl w:val="0"/>
                <w:numId w:val="0"/>
              </w:numPr>
              <w:shd w:val="clea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eastAsia="zh-CN"/>
              </w:rPr>
              <w:t>③</w:t>
            </w:r>
            <w:r>
              <w:rPr>
                <w:rFonts w:hint="eastAsia" w:asciiTheme="minorEastAsia" w:hAnsiTheme="minorEastAsia" w:eastAsiaTheme="minorEastAsia" w:cstheme="minorEastAsia"/>
                <w:color w:val="auto"/>
                <w:sz w:val="21"/>
                <w:szCs w:val="21"/>
                <w:highlight w:val="none"/>
                <w:lang w:val="en-US" w:eastAsia="zh-CN"/>
              </w:rPr>
              <w:t>拟投入本项目小组人员中（不含项目负责人）具有相关主管部门认可的一类执业资格的（如一级建造师、监理工程师等），每有一个得3分，本项满分</w:t>
            </w:r>
            <w:r>
              <w:rPr>
                <w:rFonts w:hint="eastAsia" w:asciiTheme="minorEastAsia" w:hAnsi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val="en-US" w:eastAsia="zh-CN"/>
              </w:rPr>
              <w:t>分。</w:t>
            </w:r>
          </w:p>
          <w:p>
            <w:pPr>
              <w:pStyle w:val="5"/>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注：上述</w:t>
            </w:r>
            <w:r>
              <w:rPr>
                <w:rFonts w:hint="eastAsia" w:asciiTheme="minorEastAsia" w:hAnsi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en-US" w:eastAsia="zh-CN"/>
              </w:rPr>
              <w:t>项评审项投标文件中须提供相关证书的扫描件或复印件及社保证明材料</w:t>
            </w:r>
            <w:r>
              <w:rPr>
                <w:rFonts w:hint="eastAsia" w:asciiTheme="minorEastAsia" w:hAnsiTheme="minorEastAsia" w:cstheme="minorEastAsia"/>
                <w:b/>
                <w:bCs/>
                <w:color w:val="auto"/>
                <w:sz w:val="21"/>
                <w:szCs w:val="21"/>
                <w:highlight w:val="none"/>
                <w:lang w:val="en-US" w:eastAsia="zh-CN"/>
              </w:rPr>
              <w:t>（同</w:t>
            </w:r>
            <w:r>
              <w:rPr>
                <w:rFonts w:hint="eastAsia"/>
                <w:b/>
                <w:bCs/>
                <w:color w:val="auto"/>
                <w:highlight w:val="none"/>
                <w:lang w:val="en-US" w:eastAsia="zh-CN"/>
              </w:rPr>
              <w:t>一人员多个证书的不允许重复计分</w:t>
            </w:r>
            <w:r>
              <w:rPr>
                <w:rFonts w:hint="eastAsia" w:asciiTheme="minorEastAsia" w:hAnsi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w:t>
            </w:r>
          </w:p>
        </w:tc>
        <w:tc>
          <w:tcPr>
            <w:tcW w:w="1433" w:type="dxa"/>
            <w:shd w:val="clear" w:color="auto" w:fill="auto"/>
            <w:vAlign w:val="center"/>
          </w:tcPr>
          <w:p>
            <w:pPr>
              <w:numPr>
                <w:ilvl w:val="0"/>
                <w:numId w:val="0"/>
              </w:numPr>
              <w:shd w:val="clea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提供人员证书及相关资料复印件或影印件加盖投标单位公章放入投标文件内，未提供不得分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Ex>
        <w:trPr>
          <w:trHeight w:val="1895" w:hRule="atLeast"/>
        </w:trPr>
        <w:tc>
          <w:tcPr>
            <w:tcW w:w="563" w:type="dxa"/>
            <w:shd w:val="clear" w:color="auto" w:fill="auto"/>
            <w:vAlign w:val="center"/>
          </w:tcPr>
          <w:p>
            <w:pPr>
              <w:shd w:val="clear"/>
              <w:spacing w:before="68" w:line="240" w:lineRule="auto"/>
              <w:ind w:left="346"/>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847" w:type="dxa"/>
            <w:shd w:val="clear" w:color="auto" w:fill="auto"/>
            <w:vAlign w:val="center"/>
          </w:tcPr>
          <w:p>
            <w:pPr>
              <w:numPr>
                <w:ilvl w:val="0"/>
                <w:numId w:val="0"/>
              </w:numPr>
              <w:shd w:val="clear"/>
              <w:autoSpaceDE w:val="0"/>
              <w:autoSpaceDN w:val="0"/>
              <w:adjustRightIn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项目负责人业绩及奖项</w:t>
            </w:r>
          </w:p>
          <w:p>
            <w:pPr>
              <w:numPr>
                <w:ilvl w:val="0"/>
                <w:numId w:val="0"/>
              </w:numPr>
              <w:shd w:val="clear"/>
              <w:autoSpaceDE w:val="0"/>
              <w:autoSpaceDN w:val="0"/>
              <w:adjustRightIn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5分</w:t>
            </w:r>
          </w:p>
        </w:tc>
        <w:tc>
          <w:tcPr>
            <w:tcW w:w="6554" w:type="dxa"/>
            <w:shd w:val="clear" w:color="auto" w:fill="auto"/>
            <w:vAlign w:val="center"/>
          </w:tcPr>
          <w:p>
            <w:pPr>
              <w:pStyle w:val="2"/>
              <w:shd w:val="clear"/>
              <w:ind w:left="0" w:leftChars="0"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eastAsia="zh-CN"/>
              </w:rPr>
              <w:t>自20</w:t>
            </w:r>
            <w:r>
              <w:rPr>
                <w:rFonts w:hint="eastAsia" w:asciiTheme="minorEastAsia" w:hAnsiTheme="minorEastAsia" w:eastAsiaTheme="minorEastAsia" w:cstheme="minorEastAsia"/>
                <w:color w:val="auto"/>
                <w:sz w:val="21"/>
                <w:szCs w:val="21"/>
                <w:highlight w:val="none"/>
                <w:lang w:val="en-US" w:eastAsia="zh-CN"/>
              </w:rPr>
              <w:t>22</w:t>
            </w:r>
            <w:r>
              <w:rPr>
                <w:rFonts w:hint="eastAsia" w:asciiTheme="minorEastAsia" w:hAnsiTheme="minorEastAsia" w:eastAsiaTheme="minorEastAsia" w:cstheme="minorEastAsia"/>
                <w:color w:val="auto"/>
                <w:sz w:val="21"/>
                <w:szCs w:val="21"/>
                <w:highlight w:val="none"/>
                <w:lang w:val="zh-CN" w:eastAsia="zh-CN"/>
              </w:rPr>
              <w:t>年</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zh-CN" w:eastAsia="zh-CN"/>
              </w:rPr>
              <w:t>月1日起</w:t>
            </w:r>
            <w:r>
              <w:rPr>
                <w:rFonts w:hint="eastAsia" w:asciiTheme="minorEastAsia" w:hAnsiTheme="minorEastAsia" w:eastAsiaTheme="minorEastAsia" w:cstheme="minorEastAsia"/>
                <w:color w:val="auto"/>
                <w:sz w:val="21"/>
                <w:szCs w:val="21"/>
                <w:highlight w:val="none"/>
                <w:lang w:val="en-US" w:eastAsia="zh-CN"/>
              </w:rPr>
              <w:t>至投标截止日</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项目负责人获过市级及以上建设行业主管部门、行政主管部门或行业协会颁发的“优秀造价师”荣誉的得5分，本项满分5分</w:t>
            </w:r>
          </w:p>
        </w:tc>
        <w:tc>
          <w:tcPr>
            <w:tcW w:w="1433" w:type="dxa"/>
            <w:shd w:val="clear" w:color="auto" w:fill="auto"/>
            <w:vAlign w:val="center"/>
          </w:tcPr>
          <w:p>
            <w:pPr>
              <w:numPr>
                <w:ilvl w:val="0"/>
                <w:numId w:val="0"/>
              </w:numPr>
              <w:shd w:val="clear"/>
              <w:autoSpaceDE w:val="0"/>
              <w:autoSpaceDN w:val="0"/>
              <w:adjustRightInd w:val="0"/>
              <w:spacing w:line="240" w:lineRule="auto"/>
              <w:ind w:left="0" w:leftChars="0"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提供资料复印件或影印件加盖投标单位公章放入投标文件内，</w:t>
            </w:r>
            <w:r>
              <w:rPr>
                <w:rFonts w:hint="eastAsia" w:asciiTheme="minorEastAsia" w:hAnsiTheme="minorEastAsia" w:eastAsiaTheme="minorEastAsia" w:cstheme="minorEastAsia"/>
                <w:color w:val="auto"/>
                <w:sz w:val="21"/>
                <w:szCs w:val="21"/>
                <w:highlight w:val="none"/>
                <w:lang w:val="zh-CN" w:eastAsia="zh-CN"/>
              </w:rPr>
              <w:t>未提供不得分</w:t>
            </w:r>
            <w:r>
              <w:rPr>
                <w:rFonts w:hint="eastAsia" w:asciiTheme="minorEastAsia" w:hAnsiTheme="minorEastAsia" w:eastAsiaTheme="minorEastAsia" w:cstheme="minorEastAsia"/>
                <w:color w:val="auto"/>
                <w:sz w:val="21"/>
                <w:szCs w:val="21"/>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Ex>
        <w:trPr>
          <w:trHeight w:val="3010" w:hRule="atLeast"/>
        </w:trPr>
        <w:tc>
          <w:tcPr>
            <w:tcW w:w="563" w:type="dxa"/>
            <w:shd w:val="clear" w:color="auto" w:fill="auto"/>
            <w:vAlign w:val="center"/>
          </w:tcPr>
          <w:p>
            <w:pPr>
              <w:shd w:val="clear"/>
              <w:spacing w:before="68" w:line="240" w:lineRule="auto"/>
              <w:ind w:left="346"/>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847" w:type="dxa"/>
            <w:shd w:val="clear" w:color="auto" w:fill="auto"/>
            <w:vAlign w:val="center"/>
          </w:tcPr>
          <w:p>
            <w:pPr>
              <w:numPr>
                <w:ilvl w:val="0"/>
                <w:numId w:val="0"/>
              </w:numPr>
              <w:shd w:val="clear"/>
              <w:autoSpaceDE w:val="0"/>
              <w:autoSpaceDN w:val="0"/>
              <w:adjustRightIn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企业业绩</w:t>
            </w:r>
          </w:p>
          <w:p>
            <w:pPr>
              <w:numPr>
                <w:ilvl w:val="0"/>
                <w:numId w:val="0"/>
              </w:numPr>
              <w:shd w:val="clear"/>
              <w:autoSpaceDE w:val="0"/>
              <w:autoSpaceDN w:val="0"/>
              <w:adjustRightInd w:val="0"/>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val="en-US" w:eastAsia="zh-CN"/>
              </w:rPr>
              <w:t>分</w:t>
            </w:r>
          </w:p>
        </w:tc>
        <w:tc>
          <w:tcPr>
            <w:tcW w:w="6554" w:type="dxa"/>
            <w:shd w:val="clear" w:color="auto" w:fill="auto"/>
            <w:vAlign w:val="center"/>
          </w:tcPr>
          <w:p>
            <w:pPr>
              <w:numPr>
                <w:ilvl w:val="0"/>
                <w:numId w:val="0"/>
              </w:numPr>
              <w:shd w:val="clear"/>
              <w:autoSpaceDE w:val="0"/>
              <w:autoSpaceDN w:val="0"/>
              <w:adjustRightInd w:val="0"/>
              <w:spacing w:line="240" w:lineRule="auto"/>
              <w:ind w:left="0" w:leftChars="0" w:firstLine="0" w:firstLineChars="0"/>
              <w:jc w:val="left"/>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eastAsia="zh-CN"/>
              </w:rPr>
              <w:t>自20</w:t>
            </w:r>
            <w:r>
              <w:rPr>
                <w:rFonts w:hint="eastAsia" w:asciiTheme="minorEastAsia" w:hAnsiTheme="minorEastAsia" w:eastAsiaTheme="minorEastAsia" w:cstheme="minorEastAsia"/>
                <w:color w:val="auto"/>
                <w:sz w:val="21"/>
                <w:szCs w:val="21"/>
                <w:highlight w:val="none"/>
                <w:lang w:val="en-US" w:eastAsia="zh-CN"/>
              </w:rPr>
              <w:t>22</w:t>
            </w:r>
            <w:r>
              <w:rPr>
                <w:rFonts w:hint="eastAsia" w:asciiTheme="minorEastAsia" w:hAnsiTheme="minorEastAsia" w:eastAsiaTheme="minorEastAsia" w:cstheme="minorEastAsia"/>
                <w:color w:val="auto"/>
                <w:sz w:val="21"/>
                <w:szCs w:val="21"/>
                <w:highlight w:val="none"/>
                <w:lang w:val="zh-CN" w:eastAsia="zh-CN"/>
              </w:rPr>
              <w:t>年</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zh-CN" w:eastAsia="zh-CN"/>
              </w:rPr>
              <w:t>月1日起</w:t>
            </w:r>
            <w:r>
              <w:rPr>
                <w:rFonts w:hint="eastAsia" w:asciiTheme="minorEastAsia" w:hAnsiTheme="minorEastAsia" w:eastAsiaTheme="minorEastAsia" w:cstheme="minorEastAsia"/>
                <w:color w:val="auto"/>
                <w:sz w:val="21"/>
                <w:szCs w:val="21"/>
                <w:highlight w:val="none"/>
                <w:lang w:val="en-US" w:eastAsia="zh-CN"/>
              </w:rPr>
              <w:t>至投标截止日</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CN" w:eastAsia="zh-CN"/>
              </w:rPr>
              <w:t>以</w:t>
            </w:r>
            <w:r>
              <w:rPr>
                <w:rFonts w:hint="eastAsia" w:asciiTheme="minorEastAsia" w:hAnsiTheme="minorEastAsia" w:cstheme="minorEastAsia"/>
                <w:color w:val="auto"/>
                <w:sz w:val="21"/>
                <w:szCs w:val="21"/>
                <w:highlight w:val="none"/>
                <w:lang w:val="en-US" w:eastAsia="zh-CN"/>
              </w:rPr>
              <w:t>正式成果出具时间</w:t>
            </w:r>
            <w:r>
              <w:rPr>
                <w:rFonts w:hint="eastAsia" w:asciiTheme="minorEastAsia" w:hAnsiTheme="minorEastAsia" w:eastAsiaTheme="minorEastAsia" w:cstheme="minorEastAsia"/>
                <w:color w:val="auto"/>
                <w:sz w:val="21"/>
                <w:szCs w:val="21"/>
                <w:highlight w:val="none"/>
                <w:lang w:val="zh-CN" w:eastAsia="zh-CN"/>
              </w:rPr>
              <w:t>为准），承担过</w:t>
            </w:r>
            <w:r>
              <w:rPr>
                <w:rFonts w:hint="eastAsia" w:asciiTheme="minorEastAsia" w:hAnsiTheme="minorEastAsia" w:cstheme="minorEastAsia"/>
                <w:color w:val="auto"/>
                <w:sz w:val="21"/>
                <w:szCs w:val="21"/>
                <w:highlight w:val="none"/>
                <w:lang w:val="en-US" w:eastAsia="zh-CN"/>
              </w:rPr>
              <w:t>有关暖通工程的工程量清单编制和控制价编制或审计</w:t>
            </w:r>
            <w:r>
              <w:rPr>
                <w:rFonts w:hint="eastAsia" w:asciiTheme="minorEastAsia" w:hAnsiTheme="minorEastAsia" w:cstheme="minorEastAsia"/>
                <w:color w:val="auto"/>
                <w:sz w:val="21"/>
                <w:szCs w:val="21"/>
                <w:highlight w:val="none"/>
                <w:lang w:val="zh-CN" w:eastAsia="zh-CN"/>
              </w:rPr>
              <w:t>业绩的，每提供一个得</w:t>
            </w:r>
            <w:r>
              <w:rPr>
                <w:rFonts w:hint="eastAsia" w:asciiTheme="minorEastAsia" w:hAnsiTheme="minorEastAsia" w:cstheme="minorEastAsia"/>
                <w:color w:val="auto"/>
                <w:sz w:val="21"/>
                <w:szCs w:val="21"/>
                <w:highlight w:val="none"/>
                <w:lang w:val="en-US" w:eastAsia="zh-CN"/>
              </w:rPr>
              <w:t>6</w:t>
            </w:r>
            <w:r>
              <w:rPr>
                <w:rFonts w:hint="eastAsia" w:asciiTheme="minorEastAsia" w:hAnsiTheme="minorEastAsia" w:cstheme="minorEastAsia"/>
                <w:color w:val="auto"/>
                <w:sz w:val="21"/>
                <w:szCs w:val="21"/>
                <w:highlight w:val="none"/>
                <w:lang w:val="zh-CN" w:eastAsia="zh-CN"/>
              </w:rPr>
              <w:t>分，</w:t>
            </w:r>
            <w:r>
              <w:rPr>
                <w:rFonts w:hint="eastAsia" w:asciiTheme="minorEastAsia" w:hAnsiTheme="minorEastAsia" w:cstheme="minorEastAsia"/>
                <w:color w:val="auto"/>
                <w:sz w:val="21"/>
                <w:szCs w:val="21"/>
                <w:highlight w:val="none"/>
                <w:lang w:val="en-US" w:eastAsia="zh-CN"/>
              </w:rPr>
              <w:t>本项满分18分</w:t>
            </w:r>
            <w:r>
              <w:rPr>
                <w:rFonts w:hint="eastAsia" w:asciiTheme="minorEastAsia" w:hAnsiTheme="minorEastAsia" w:cstheme="minorEastAsia"/>
                <w:color w:val="auto"/>
                <w:sz w:val="21"/>
                <w:szCs w:val="21"/>
                <w:highlight w:val="none"/>
                <w:lang w:val="zh-CN" w:eastAsia="zh-CN"/>
              </w:rPr>
              <w:t>。</w:t>
            </w:r>
          </w:p>
          <w:p>
            <w:pPr>
              <w:numPr>
                <w:ilvl w:val="0"/>
                <w:numId w:val="0"/>
              </w:numPr>
              <w:shd w:val="clear"/>
              <w:autoSpaceDE w:val="0"/>
              <w:autoSpaceDN w:val="0"/>
              <w:adjustRightInd w:val="0"/>
              <w:spacing w:line="240" w:lineRule="auto"/>
              <w:ind w:left="0" w:leftChars="0" w:firstLine="0" w:firstLineChars="0"/>
              <w:jc w:val="left"/>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注：须提供建设单位公章的成果文件主要部分。负责人</w:t>
            </w:r>
            <w:r>
              <w:rPr>
                <w:rFonts w:hint="eastAsia" w:asciiTheme="minorEastAsia" w:hAnsiTheme="minorEastAsia" w:eastAsiaTheme="minorEastAsia" w:cstheme="minorEastAsia"/>
                <w:color w:val="auto"/>
                <w:sz w:val="21"/>
                <w:szCs w:val="21"/>
                <w:highlight w:val="none"/>
                <w:lang w:val="zh-CN" w:eastAsia="zh-CN"/>
              </w:rPr>
              <w:t>业绩与企业业绩可重复。</w:t>
            </w:r>
          </w:p>
          <w:p>
            <w:pPr>
              <w:numPr>
                <w:ilvl w:val="0"/>
                <w:numId w:val="0"/>
              </w:numPr>
              <w:shd w:val="clear"/>
              <w:autoSpaceDE w:val="0"/>
              <w:autoSpaceDN w:val="0"/>
              <w:adjustRightInd w:val="0"/>
              <w:spacing w:line="240" w:lineRule="auto"/>
              <w:ind w:left="0" w:leftChars="0" w:firstLine="420" w:firstLineChars="200"/>
              <w:jc w:val="left"/>
              <w:rPr>
                <w:rFonts w:hint="eastAsia" w:asciiTheme="minorEastAsia" w:hAnsiTheme="minorEastAsia" w:eastAsiaTheme="minorEastAsia" w:cstheme="minorEastAsia"/>
                <w:color w:val="auto"/>
                <w:sz w:val="21"/>
                <w:szCs w:val="21"/>
                <w:highlight w:val="none"/>
                <w:lang w:val="zh-CN" w:eastAsia="zh-CN"/>
              </w:rPr>
            </w:pPr>
          </w:p>
        </w:tc>
        <w:tc>
          <w:tcPr>
            <w:tcW w:w="1433" w:type="dxa"/>
            <w:shd w:val="clear" w:color="auto" w:fill="auto"/>
            <w:vAlign w:val="center"/>
          </w:tcPr>
          <w:p>
            <w:pPr>
              <w:numPr>
                <w:ilvl w:val="0"/>
                <w:numId w:val="0"/>
              </w:numPr>
              <w:shd w:val="clear"/>
              <w:autoSpaceDE w:val="0"/>
              <w:autoSpaceDN w:val="0"/>
              <w:adjustRightInd w:val="0"/>
              <w:spacing w:line="240" w:lineRule="auto"/>
              <w:ind w:left="0" w:leftChars="0"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提供资料复印件或影印件加盖投标单位公章放入投标文件内，</w:t>
            </w:r>
            <w:r>
              <w:rPr>
                <w:rFonts w:hint="eastAsia" w:asciiTheme="minorEastAsia" w:hAnsiTheme="minorEastAsia" w:eastAsiaTheme="minorEastAsia" w:cstheme="minorEastAsia"/>
                <w:color w:val="auto"/>
                <w:sz w:val="21"/>
                <w:szCs w:val="21"/>
                <w:highlight w:val="none"/>
                <w:lang w:val="zh-CN" w:eastAsia="zh-CN"/>
              </w:rPr>
              <w:t>未提供不得分</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lang w:val="en-US" w:eastAsia="zh-CN"/>
              </w:rPr>
              <w:t>提供</w:t>
            </w:r>
            <w:r>
              <w:rPr>
                <w:rFonts w:hint="eastAsia" w:asciiTheme="minorEastAsia" w:hAnsiTheme="minorEastAsia" w:cstheme="minorEastAsia"/>
                <w:b/>
                <w:bCs/>
                <w:color w:val="auto"/>
                <w:sz w:val="21"/>
                <w:szCs w:val="21"/>
                <w:highlight w:val="none"/>
                <w:lang w:val="en-US" w:eastAsia="zh-CN"/>
              </w:rPr>
              <w:t>成果文</w:t>
            </w:r>
            <w:r>
              <w:rPr>
                <w:rFonts w:hint="eastAsia" w:asciiTheme="minorEastAsia" w:hAnsiTheme="minorEastAsia" w:eastAsiaTheme="minorEastAsia" w:cstheme="minorEastAsia"/>
                <w:b/>
                <w:bCs/>
                <w:color w:val="auto"/>
                <w:sz w:val="21"/>
                <w:szCs w:val="21"/>
                <w:highlight w:val="none"/>
                <w:lang w:val="en-US" w:eastAsia="zh-CN"/>
              </w:rPr>
              <w:t>件</w:t>
            </w:r>
            <w:r>
              <w:rPr>
                <w:rFonts w:hint="eastAsia" w:asciiTheme="minorEastAsia" w:hAnsiTheme="minorEastAsia" w:cstheme="minorEastAsia"/>
                <w:b/>
                <w:bCs/>
                <w:color w:val="auto"/>
                <w:sz w:val="21"/>
                <w:szCs w:val="21"/>
                <w:highlight w:val="none"/>
                <w:lang w:val="en-US" w:eastAsia="zh-CN"/>
              </w:rPr>
              <w:t>的</w:t>
            </w:r>
            <w:r>
              <w:rPr>
                <w:rFonts w:hint="eastAsia" w:asciiTheme="minorEastAsia" w:hAnsiTheme="minorEastAsia" w:eastAsiaTheme="minorEastAsia" w:cstheme="minorEastAsia"/>
                <w:b/>
                <w:bCs/>
                <w:color w:val="auto"/>
                <w:sz w:val="21"/>
                <w:szCs w:val="21"/>
                <w:highlight w:val="none"/>
                <w:lang w:val="en-US" w:eastAsia="zh-CN"/>
              </w:rPr>
              <w:t>原</w:t>
            </w:r>
            <w:r>
              <w:rPr>
                <w:rFonts w:hint="eastAsia" w:asciiTheme="minorEastAsia" w:hAnsiTheme="minorEastAsia" w:cstheme="minorEastAsia"/>
                <w:b/>
                <w:bCs/>
                <w:color w:val="auto"/>
                <w:sz w:val="21"/>
                <w:szCs w:val="21"/>
                <w:highlight w:val="none"/>
                <w:lang w:val="en-US" w:eastAsia="zh-CN"/>
              </w:rPr>
              <w:t>始文件，供评审现场核查，评审结束后归还投标人</w:t>
            </w:r>
            <w:r>
              <w:rPr>
                <w:rFonts w:hint="eastAsia" w:asciiTheme="minorEastAsia" w:hAnsiTheme="minorEastAsia" w:cstheme="minorEastAsia"/>
                <w:b/>
                <w:bCs/>
                <w:color w:val="auto"/>
                <w:sz w:val="21"/>
                <w:szCs w:val="21"/>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Ex>
        <w:trPr>
          <w:trHeight w:val="1262" w:hRule="atLeast"/>
        </w:trPr>
        <w:tc>
          <w:tcPr>
            <w:tcW w:w="563" w:type="dxa"/>
            <w:shd w:val="clear" w:color="auto" w:fill="auto"/>
            <w:vAlign w:val="center"/>
          </w:tcPr>
          <w:p>
            <w:pPr>
              <w:shd w:val="clear"/>
              <w:spacing w:before="68" w:line="240" w:lineRule="auto"/>
              <w:ind w:left="346"/>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847" w:type="dxa"/>
            <w:shd w:val="clear" w:color="auto" w:fill="auto"/>
            <w:vAlign w:val="center"/>
          </w:tcPr>
          <w:p>
            <w:pPr>
              <w:numPr>
                <w:ilvl w:val="0"/>
                <w:numId w:val="0"/>
              </w:numPr>
              <w:shd w:val="clear"/>
              <w:autoSpaceDE w:val="0"/>
              <w:autoSpaceDN w:val="0"/>
              <w:adjustRightInd w:val="0"/>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报价（</w:t>
            </w:r>
            <w:r>
              <w:rPr>
                <w:rFonts w:hint="eastAsia" w:asciiTheme="minorEastAsia" w:hAnsiTheme="minorEastAsia" w:cstheme="minorEastAsia"/>
                <w:color w:val="auto"/>
                <w:sz w:val="21"/>
                <w:szCs w:val="21"/>
                <w:highlight w:val="none"/>
                <w:lang w:val="en-US" w:eastAsia="zh-CN"/>
              </w:rPr>
              <w:t>百分率</w:t>
            </w:r>
            <w:r>
              <w:rPr>
                <w:rFonts w:hint="eastAsia" w:asciiTheme="minorEastAsia" w:hAnsiTheme="minorEastAsia" w:eastAsiaTheme="minorEastAsia" w:cstheme="minorEastAsia"/>
                <w:color w:val="auto"/>
                <w:sz w:val="21"/>
                <w:szCs w:val="21"/>
                <w:highlight w:val="none"/>
                <w:lang w:val="en-US" w:eastAsia="zh-CN"/>
              </w:rPr>
              <w:t>）25分</w:t>
            </w:r>
          </w:p>
        </w:tc>
        <w:tc>
          <w:tcPr>
            <w:tcW w:w="6554" w:type="dxa"/>
            <w:shd w:val="clear" w:color="auto" w:fill="auto"/>
            <w:vAlign w:val="center"/>
          </w:tcPr>
          <w:p>
            <w:pPr>
              <w:numPr>
                <w:ilvl w:val="0"/>
                <w:numId w:val="0"/>
              </w:numPr>
              <w:shd w:val="clea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满足采购文件要求各投标报价的平均价为评标基准价。</w:t>
            </w:r>
            <w:r>
              <w:rPr>
                <w:rFonts w:hint="eastAsia" w:asciiTheme="minorEastAsia" w:hAnsiTheme="minorEastAsia" w:eastAsiaTheme="minorEastAsia" w:cstheme="minorEastAsia"/>
                <w:color w:val="auto"/>
                <w:sz w:val="21"/>
                <w:szCs w:val="21"/>
                <w:highlight w:val="none"/>
                <w:lang w:val="en-US" w:eastAsia="zh-CN"/>
              </w:rPr>
              <w:t>高于评标基准价的报价得分=评标基准价/投标报价</w:t>
            </w:r>
            <w:r>
              <w:rPr>
                <w:rFonts w:hint="eastAsia" w:asciiTheme="minorEastAsia" w:hAnsiTheme="minorEastAsia" w:eastAsiaTheme="minorEastAsia" w:cstheme="minorEastAsia"/>
                <w:color w:val="auto"/>
                <w:sz w:val="21"/>
                <w:szCs w:val="21"/>
                <w:highlight w:val="none"/>
                <w:shd w:val="clear"/>
                <w:lang w:val="en-US" w:eastAsia="zh-CN"/>
              </w:rPr>
              <w:t>*25</w:t>
            </w:r>
            <w:r>
              <w:rPr>
                <w:rFonts w:hint="eastAsia" w:asciiTheme="minorEastAsia" w:hAnsiTheme="minorEastAsia" w:cstheme="minorEastAsia"/>
                <w:color w:val="auto"/>
                <w:sz w:val="21"/>
                <w:szCs w:val="21"/>
                <w:highlight w:val="none"/>
                <w:shd w:val="clear"/>
                <w:lang w:val="en-US" w:eastAsia="zh-CN"/>
              </w:rPr>
              <w:t>*0.9</w:t>
            </w:r>
            <w:r>
              <w:rPr>
                <w:rFonts w:hint="eastAsia" w:asciiTheme="minorEastAsia" w:hAnsiTheme="minorEastAsia" w:eastAsiaTheme="minorEastAsia" w:cstheme="minorEastAsia"/>
                <w:color w:val="auto"/>
                <w:sz w:val="21"/>
                <w:szCs w:val="21"/>
                <w:highlight w:val="none"/>
                <w:shd w:val="clear"/>
                <w:lang w:val="en-US" w:eastAsia="zh-CN"/>
              </w:rPr>
              <w:t>；</w:t>
            </w:r>
            <w:r>
              <w:rPr>
                <w:rFonts w:hint="eastAsia" w:asciiTheme="minorEastAsia" w:hAnsiTheme="minorEastAsia" w:eastAsiaTheme="minorEastAsia" w:cstheme="minorEastAsia"/>
                <w:color w:val="auto"/>
                <w:sz w:val="21"/>
                <w:szCs w:val="21"/>
                <w:highlight w:val="none"/>
                <w:lang w:val="en-US" w:eastAsia="zh-CN"/>
              </w:rPr>
              <w:t>低于评标基准价的报价得分=投标报价/评标基准价*25。</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各计算步骤</w:t>
            </w:r>
            <w:r>
              <w:rPr>
                <w:rFonts w:hint="eastAsia" w:asciiTheme="minorEastAsia" w:hAnsiTheme="minorEastAsia" w:eastAsiaTheme="minorEastAsia" w:cstheme="minorEastAsia"/>
                <w:color w:val="auto"/>
                <w:sz w:val="21"/>
                <w:szCs w:val="21"/>
                <w:highlight w:val="none"/>
                <w:lang w:val="zh-CN" w:eastAsia="zh-CN"/>
              </w:rPr>
              <w:t xml:space="preserve">四舍五入，精确到小数点后二位）。 </w:t>
            </w:r>
          </w:p>
        </w:tc>
        <w:tc>
          <w:tcPr>
            <w:tcW w:w="1433" w:type="dxa"/>
            <w:shd w:val="clear" w:color="auto" w:fill="auto"/>
            <w:vAlign w:val="center"/>
          </w:tcPr>
          <w:p>
            <w:pPr>
              <w:numPr>
                <w:ilvl w:val="0"/>
                <w:numId w:val="0"/>
              </w:numPr>
              <w:shd w:val="clear"/>
              <w:autoSpaceDE w:val="0"/>
              <w:autoSpaceDN w:val="0"/>
              <w:adjustRightInd w:val="0"/>
              <w:spacing w:line="240" w:lineRule="auto"/>
              <w:ind w:left="0" w:leftChars="0" w:firstLine="0" w:firstLineChars="0"/>
              <w:jc w:val="left"/>
              <w:rPr>
                <w:rFonts w:hint="eastAsia" w:asciiTheme="minorEastAsia" w:hAnsiTheme="minorEastAsia" w:eastAsiaTheme="minorEastAsia" w:cstheme="minorEastAsia"/>
                <w:color w:val="auto"/>
                <w:sz w:val="21"/>
                <w:szCs w:val="21"/>
                <w:highlight w:val="none"/>
                <w:lang w:val="zh-CN" w:eastAsia="zh-CN"/>
              </w:rPr>
            </w:pPr>
          </w:p>
        </w:tc>
      </w:tr>
    </w:tbl>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spacing w:before="300" w:beforeAutospacing="0" w:after="150" w:afterAutospacing="0" w:line="30" w:lineRule="atLeast"/>
        <w:ind w:left="0" w:right="0"/>
        <w:rPr>
          <w:rFonts w:hint="eastAsia" w:asciiTheme="minorEastAsia" w:hAnsiTheme="minorEastAsia" w:eastAsiaTheme="minorEastAsia" w:cstheme="minorEastAsia"/>
          <w:color w:val="auto"/>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2"/>
    <w:family w:val="roman"/>
    <w:pitch w:val="default"/>
    <w:sig w:usb0="00000000" w:usb1="00000000" w:usb2="00000000" w:usb3="00000000" w:csb0="80000000"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EFF" w:usb1="C000785B" w:usb2="00000009" w:usb3="00000000" w:csb0="400001FF" w:csb1="FFFF0000"/>
  </w:font>
  <w:font w:name="Courier New">
    <w:panose1 w:val="02070309020205020404"/>
    <w:charset w:val="00"/>
    <w:family w:val="swiss"/>
    <w:pitch w:val="default"/>
    <w:sig w:usb0="E0002EFF" w:usb1="C0007843" w:usb2="00000009" w:usb3="00000000" w:csb0="400001FF" w:csb1="FFFF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Wingdings 2">
    <w:altName w:val="Wingdings"/>
    <w:panose1 w:val="05020102010507070707"/>
    <w:charset w:val="02"/>
    <w:family w:val="modern"/>
    <w:pitch w:val="default"/>
    <w:sig w:usb0="00000000" w:usb1="00000000" w:usb2="00000000" w:usb3="00000000" w:csb0="80000000" w:csb1="00000000"/>
  </w:font>
  <w:font w:name="Wingdings">
    <w:panose1 w:val="05000000000000000000"/>
    <w:charset w:val="02"/>
    <w:family w:val="modern"/>
    <w:pitch w:val="default"/>
    <w:sig w:usb0="00000000" w:usb1="00000000" w:usb2="00000000" w:usb3="00000000" w:csb0="80000000" w:csb1="0000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EFF" w:usb1="C000785B" w:usb2="00000009" w:usb3="00000000" w:csb0="400001FF" w:csb1="FFFF0000"/>
  </w:font>
  <w:font w:name="Courier New">
    <w:panose1 w:val="02070309020205020404"/>
    <w:charset w:val="00"/>
    <w:family w:val="decorative"/>
    <w:pitch w:val="default"/>
    <w:sig w:usb0="E0002EFF" w:usb1="C0007843" w:usb2="00000009" w:usb3="00000000" w:csb0="400001FF" w:csb1="FFFF0000"/>
  </w:font>
  <w:font w:name="仿宋_GB2312">
    <w:altName w:val="仿宋"/>
    <w:panose1 w:val="02010609030101010101"/>
    <w:charset w:val="86"/>
    <w:family w:val="decorative"/>
    <w:pitch w:val="default"/>
    <w:sig w:usb0="00000000" w:usb1="00000000" w:usb2="00000000" w:usb3="00000000" w:csb0="00040000" w:csb1="00000000"/>
  </w:font>
  <w:font w:name="楷体_GB2312">
    <w:altName w:val="楷体"/>
    <w:panose1 w:val="00000000000000000000"/>
    <w:charset w:val="86"/>
    <w:family w:val="decorative"/>
    <w:pitch w:val="default"/>
    <w:sig w:usb0="00000000" w:usb1="00000000" w:usb2="00000000" w:usb3="00000000" w:csb0="00040000" w:csb1="00000000"/>
  </w:font>
  <w:font w:name="Wingdings 2">
    <w:altName w:val="Wingdings"/>
    <w:panose1 w:val="05020102010507070707"/>
    <w:charset w:val="02"/>
    <w:family w:val="swiss"/>
    <w:pitch w:val="default"/>
    <w:sig w:usb0="00000000" w:usb1="00000000" w:usb2="00000000" w:usb3="00000000" w:csb0="80000000" w:csb1="00000000"/>
  </w:font>
  <w:font w:name="Wingdings">
    <w:panose1 w:val="05000000000000000000"/>
    <w:charset w:val="02"/>
    <w:family w:val="swiss"/>
    <w:pitch w:val="default"/>
    <w:sig w:usb0="00000000" w:usb1="00000000" w:usb2="00000000" w:usb3="00000000" w:csb0="80000000"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EFF" w:usb1="C000785B" w:usb2="00000009" w:usb3="00000000" w:csb0="400001FF" w:csb1="FFFF0000"/>
  </w:font>
  <w:font w:name="Courier New">
    <w:panose1 w:val="02070309020205020404"/>
    <w:charset w:val="00"/>
    <w:family w:val="roman"/>
    <w:pitch w:val="default"/>
    <w:sig w:usb0="E0002EFF" w:usb1="C0007843" w:usb2="00000009" w:usb3="00000000" w:csb0="400001FF" w:csb1="FFFF0000"/>
  </w:font>
  <w:font w:name="仿宋_GB2312">
    <w:altName w:val="仿宋"/>
    <w:panose1 w:val="02010609030101010101"/>
    <w:charset w:val="86"/>
    <w:family w:val="roman"/>
    <w:pitch w:val="default"/>
    <w:sig w:usb0="00000000" w:usb1="00000000" w:usb2="00000000" w:usb3="00000000" w:csb0="00040000" w:csb1="00000000"/>
  </w:font>
  <w:font w:name="楷体_GB2312">
    <w:altName w:val="楷体"/>
    <w:panose1 w:val="00000000000000000000"/>
    <w:charset w:val="86"/>
    <w:family w:val="roman"/>
    <w:pitch w:val="default"/>
    <w:sig w:usb0="00000000" w:usb1="00000000" w:usb2="00000000" w:usb3="00000000" w:csb0="00040000" w:csb1="00000000"/>
  </w:font>
  <w:font w:name="Wingdings 2">
    <w:altName w:val="Wingdings"/>
    <w:panose1 w:val="05020102010507070707"/>
    <w:charset w:val="02"/>
    <w:family w:val="decorative"/>
    <w:pitch w:val="default"/>
    <w:sig w:usb0="00000000" w:usb1="00000000" w:usb2="00000000" w:usb3="00000000" w:csb0="80000000" w:csb1="00000000"/>
  </w:font>
  <w:font w:name="Wingdings">
    <w:panose1 w:val="05000000000000000000"/>
    <w:charset w:val="02"/>
    <w:family w:val="decorative"/>
    <w:pitch w:val="default"/>
    <w:sig w:usb0="00000000" w:usb1="00000000" w:usb2="00000000" w:usb3="00000000" w:csb0="80000000" w:csb1="00000000"/>
  </w:font>
  <w:font w:name="Tahoma">
    <w:panose1 w:val="020B0604030504040204"/>
    <w:charset w:val="00"/>
    <w:family w:val="decorative"/>
    <w:pitch w:val="default"/>
    <w:sig w:usb0="E1002EFF" w:usb1="C000605B" w:usb2="00000029" w:usb3="00000000" w:csb0="200101FF" w:csb1="20280000"/>
  </w:font>
  <w:font w:name="隶书">
    <w:altName w:val="微软雅黑"/>
    <w:panose1 w:val="02010509060101010101"/>
    <w:charset w:val="86"/>
    <w:family w:val="swiss"/>
    <w:pitch w:val="default"/>
    <w:sig w:usb0="00000000" w:usb1="00000000" w:usb2="0000000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 w:name="Verdana">
    <w:panose1 w:val="020B0604030504040204"/>
    <w:charset w:val="00"/>
    <w:family w:val="decorative"/>
    <w:pitch w:val="default"/>
    <w:sig w:usb0="A00006FF" w:usb1="4000205B" w:usb2="00000010" w:usb3="00000000" w:csb0="2000019F" w:csb1="00000000"/>
  </w:font>
  <w:font w:name="Tahoma">
    <w:panose1 w:val="020B0604030504040204"/>
    <w:charset w:val="00"/>
    <w:family w:val="roman"/>
    <w:pitch w:val="default"/>
    <w:sig w:usb0="E1002EFF" w:usb1="C000605B" w:usb2="00000029" w:usb3="00000000" w:csb0="200101FF" w:csb1="20280000"/>
  </w:font>
  <w:font w:name="隶书">
    <w:altName w:val="微软雅黑"/>
    <w:panose1 w:val="02010509060101010101"/>
    <w:charset w:val="86"/>
    <w:family w:val="decorative"/>
    <w:pitch w:val="default"/>
    <w:sig w:usb0="00000000" w:usb1="00000000" w:usb2="00000000" w:usb3="00000000" w:csb0="00040000" w:csb1="00000000"/>
  </w:font>
  <w:font w:name="ˎ̥">
    <w:altName w:val="Times New Roman"/>
    <w:panose1 w:val="00000000000000000000"/>
    <w:charset w:val="00"/>
    <w:family w:val="swiss"/>
    <w:pitch w:val="default"/>
    <w:sig w:usb0="00000000" w:usb1="00000000" w:usb2="00000000" w:usb3="00000000" w:csb0="00040001" w:csb1="00000000"/>
  </w:font>
  <w:font w:name="Verdana">
    <w:panose1 w:val="020B0604030504040204"/>
    <w:charset w:val="00"/>
    <w:family w:val="roman"/>
    <w:pitch w:val="default"/>
    <w:sig w:usb0="A00006FF" w:usb1="4000205B" w:usb2="00000010" w:usb3="00000000" w:csb0="2000019F" w:csb1="00000000"/>
  </w:font>
  <w:font w:name="Tahoma">
    <w:panose1 w:val="020B0604030504040204"/>
    <w:charset w:val="00"/>
    <w:family w:val="modern"/>
    <w:pitch w:val="default"/>
    <w:sig w:usb0="E1002EFF" w:usb1="C000605B" w:usb2="00000029" w:usb3="00000000" w:csb0="200101FF" w:csb1="20280000"/>
  </w:font>
  <w:font w:name="隶书">
    <w:altName w:val="微软雅黑"/>
    <w:panose1 w:val="02010509060101010101"/>
    <w:charset w:val="86"/>
    <w:family w:val="roman"/>
    <w:pitch w:val="default"/>
    <w:sig w:usb0="00000000" w:usb1="00000000" w:usb2="00000000" w:usb3="00000000" w:csb0="00040000" w:csb1="00000000"/>
  </w:font>
  <w:font w:name="ˎ̥">
    <w:altName w:val="Times New Roman"/>
    <w:panose1 w:val="00000000000000000000"/>
    <w:charset w:val="00"/>
    <w:family w:val="decorative"/>
    <w:pitch w:val="default"/>
    <w:sig w:usb0="00000000" w:usb1="00000000" w:usb2="00000000" w:usb3="00000000" w:csb0="00040001" w:csb1="00000000"/>
  </w:font>
  <w:font w:name="Verdana">
    <w:panose1 w:val="020B0604030504040204"/>
    <w:charset w:val="00"/>
    <w:family w:val="modern"/>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auto"/>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Mongolian Baiti">
    <w:panose1 w:val="03000500000000000000"/>
    <w:charset w:val="00"/>
    <w:family w:val="script"/>
    <w:pitch w:val="default"/>
    <w:sig w:usb0="80000023" w:usb1="00000000" w:usb2="00020000" w:usb3="00000000" w:csb0="00000001" w:csb1="00000000"/>
  </w:font>
  <w:font w:name="Microsoft Sans Serif">
    <w:panose1 w:val="020B0604020202020204"/>
    <w:charset w:val="00"/>
    <w:family w:val="swiss"/>
    <w:pitch w:val="default"/>
    <w:sig w:usb0="E5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义启简黑体">
    <w:altName w:val="黑体"/>
    <w:panose1 w:val="02000000000000000000"/>
    <w:charset w:val="00"/>
    <w:family w:val="auto"/>
    <w:pitch w:val="default"/>
    <w:sig w:usb0="00000000" w:usb1="00000000" w:usb2="00000012" w:usb3="00000000" w:csb0="00020001" w:csb1="00000000"/>
  </w:font>
  <w:font w:name="Sylfaen">
    <w:panose1 w:val="010A0502050306030303"/>
    <w:charset w:val="00"/>
    <w:family w:val="roman"/>
    <w:pitch w:val="default"/>
    <w:sig w:usb0="04000687" w:usb1="00000000" w:usb2="00000000" w:usb3="00000000" w:csb0="2000009F" w:csb1="00000000"/>
  </w:font>
  <w:font w:name="MS Gothic">
    <w:panose1 w:val="020B0609070205080204"/>
    <w:charset w:val="80"/>
    <w:family w:val="modern"/>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roman"/>
    <w:pitch w:val="default"/>
    <w:sig w:usb0="E5002EFF" w:usb1="C000605B" w:usb2="00000029" w:usb3="00000000" w:csb0="200101FF" w:csb1="20280000"/>
  </w:font>
  <w:font w:name="MingLiU">
    <w:altName w:val="PMingLiU-ExtB"/>
    <w:panose1 w:val="02020509000000000000"/>
    <w:charset w:val="88"/>
    <w:family w:val="decorative"/>
    <w:pitch w:val="default"/>
    <w:sig w:usb0="00000000" w:usb1="00000000" w:usb2="00000016" w:usb3="00000000" w:csb0="00100001" w:csb1="00000000"/>
  </w:font>
  <w:font w:name="楷体">
    <w:panose1 w:val="02010609060101010101"/>
    <w:charset w:val="86"/>
    <w:family w:val="decorative"/>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Sylfaen">
    <w:panose1 w:val="010A0502050306030303"/>
    <w:charset w:val="00"/>
    <w:family w:val="swiss"/>
    <w:pitch w:val="default"/>
    <w:sig w:usb0="04000687" w:usb1="00000000" w:usb2="00000000" w:usb3="00000000" w:csb0="2000009F" w:csb1="00000000"/>
  </w:font>
  <w:font w:name="MS Gothic">
    <w:panose1 w:val="020B0609070205080204"/>
    <w:charset w:val="80"/>
    <w:family w:val="decorative"/>
    <w:pitch w:val="default"/>
    <w:sig w:usb0="E00002FF" w:usb1="6AC7FDFB" w:usb2="08000012" w:usb3="00000000" w:csb0="4002009F" w:csb1="DFD70000"/>
  </w:font>
  <w:font w:name="Microsoft Sans Serif">
    <w:panose1 w:val="020B0604020202020204"/>
    <w:charset w:val="00"/>
    <w:family w:val="modern"/>
    <w:pitch w:val="default"/>
    <w:sig w:usb0="E5002EFF" w:usb1="C000605B" w:usb2="00000029" w:usb3="00000000" w:csb0="200101FF" w:csb1="20280000"/>
  </w:font>
  <w:font w:name="MingLiU">
    <w:altName w:val="PMingLiU-ExtB"/>
    <w:panose1 w:val="02020509000000000000"/>
    <w:charset w:val="88"/>
    <w:family w:val="roman"/>
    <w:pitch w:val="default"/>
    <w:sig w:usb0="00000000" w:usb1="00000000" w:usb2="00000016" w:usb3="00000000" w:csb0="00100001" w:csb1="00000000"/>
  </w:font>
  <w:font w:name="楷体">
    <w:panose1 w:val="02010609060101010101"/>
    <w:charset w:val="86"/>
    <w:family w:val="roman"/>
    <w:pitch w:val="default"/>
    <w:sig w:usb0="800002BF" w:usb1="38CF7CFA" w:usb2="00000016" w:usb3="00000000" w:csb0="00040001" w:csb1="00000000"/>
  </w:font>
  <w:font w:name="Arial Unicode MS">
    <w:altName w:val="宋体"/>
    <w:panose1 w:val="020B0604020202020204"/>
    <w:charset w:val="86"/>
    <w:family w:val="decorative"/>
    <w:pitch w:val="default"/>
    <w:sig w:usb0="00000000" w:usb1="00000000" w:usb2="0000003F" w:usb3="00000000" w:csb0="603F01FF" w:csb1="FFFF0000"/>
  </w:font>
  <w:font w:name="Sylfaen">
    <w:panose1 w:val="010A0502050306030303"/>
    <w:charset w:val="00"/>
    <w:family w:val="decorative"/>
    <w:pitch w:val="default"/>
    <w:sig w:usb0="04000687" w:usb1="00000000" w:usb2="00000000" w:usb3="00000000" w:csb0="2000009F" w:csb1="00000000"/>
  </w:font>
  <w:font w:name="MS Gothic">
    <w:panose1 w:val="020B0609070205080204"/>
    <w:charset w:val="80"/>
    <w:family w:val="roman"/>
    <w:pitch w:val="default"/>
    <w:sig w:usb0="E00002FF" w:usb1="6AC7FDFB" w:usb2="08000012" w:usb3="00000000" w:csb0="4002009F" w:csb1="DFD70000"/>
  </w:font>
  <w:font w:name="Microsoft Sans Serif">
    <w:panose1 w:val="020B0604020202020204"/>
    <w:charset w:val="00"/>
    <w:family w:val="decorative"/>
    <w:pitch w:val="default"/>
    <w:sig w:usb0="E5002EFF" w:usb1="C000605B" w:usb2="00000029" w:usb3="00000000" w:csb0="200101FF" w:csb1="20280000"/>
  </w:font>
  <w:font w:name="MingLiU">
    <w:altName w:val="PMingLiU-ExtB"/>
    <w:panose1 w:val="02020509000000000000"/>
    <w:charset w:val="88"/>
    <w:family w:val="swiss"/>
    <w:pitch w:val="default"/>
    <w:sig w:usb0="00000000" w:usb1="00000000" w:usb2="00000016" w:usb3="00000000" w:csb0="00100001" w:csb1="00000000"/>
  </w:font>
  <w:font w:name="楷体">
    <w:panose1 w:val="02010609060101010101"/>
    <w:charset w:val="86"/>
    <w:family w:val="swiss"/>
    <w:pitch w:val="default"/>
    <w:sig w:usb0="800002BF" w:usb1="38CF7CFA" w:usb2="00000016" w:usb3="00000000" w:csb0="00040001" w:csb1="00000000"/>
  </w:font>
  <w:font w:name="Arial Unicode MS">
    <w:altName w:val="宋体"/>
    <w:panose1 w:val="020B0604020202020204"/>
    <w:charset w:val="86"/>
    <w:family w:val="modern"/>
    <w:pitch w:val="default"/>
    <w:sig w:usb0="00000000" w:usb1="00000000" w:usb2="0000003F" w:usb3="00000000" w:csb0="603F01FF" w:csb1="FFFF0000"/>
  </w:font>
  <w:font w:name="Sylfaen">
    <w:panose1 w:val="010A0502050306030303"/>
    <w:charset w:val="00"/>
    <w:family w:val="modern"/>
    <w:pitch w:val="default"/>
    <w:sig w:usb0="04000687" w:usb1="00000000" w:usb2="00000000" w:usb3="00000000" w:csb0="2000009F" w:csb1="00000000"/>
  </w:font>
  <w:font w:name="MS Gothic">
    <w:panose1 w:val="020B0609070205080204"/>
    <w:charset w:val="80"/>
    <w:family w:val="swiss"/>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42861183">
    <w:nsid w:val="67E1F37F"/>
    <w:multiLevelType w:val="singleLevel"/>
    <w:tmpl w:val="67E1F37F"/>
    <w:lvl w:ilvl="0" w:tentative="1">
      <w:start w:val="2"/>
      <w:numFmt w:val="decimal"/>
      <w:suff w:val="nothing"/>
      <w:lvlText w:val="%1、"/>
      <w:lvlJc w:val="left"/>
    </w:lvl>
  </w:abstractNum>
  <w:num w:numId="1">
    <w:abstractNumId w:val="17428611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MGE0OGYyODNjZTNkMGM5ODE1Yjc2ZWM2ZjM1MWUifQ=="/>
  </w:docVars>
  <w:rsids>
    <w:rsidRoot w:val="00000000"/>
    <w:rsid w:val="019E58B5"/>
    <w:rsid w:val="03EC07D5"/>
    <w:rsid w:val="052A5D7A"/>
    <w:rsid w:val="05F2584F"/>
    <w:rsid w:val="07747F4A"/>
    <w:rsid w:val="090D4CBE"/>
    <w:rsid w:val="095D3A0E"/>
    <w:rsid w:val="0A025FF9"/>
    <w:rsid w:val="0A7301BC"/>
    <w:rsid w:val="0B3705F5"/>
    <w:rsid w:val="0BA7412C"/>
    <w:rsid w:val="0E9769FD"/>
    <w:rsid w:val="0FAC06CA"/>
    <w:rsid w:val="10624D6F"/>
    <w:rsid w:val="10D97398"/>
    <w:rsid w:val="11013484"/>
    <w:rsid w:val="110D3FA0"/>
    <w:rsid w:val="11FC0F14"/>
    <w:rsid w:val="125136BB"/>
    <w:rsid w:val="12837BC8"/>
    <w:rsid w:val="140F28CE"/>
    <w:rsid w:val="14E754D8"/>
    <w:rsid w:val="160866B9"/>
    <w:rsid w:val="16F06BB2"/>
    <w:rsid w:val="17FB4AE6"/>
    <w:rsid w:val="18166994"/>
    <w:rsid w:val="1B1D7BD8"/>
    <w:rsid w:val="1BC22D4C"/>
    <w:rsid w:val="1C5A59B3"/>
    <w:rsid w:val="1DB765D0"/>
    <w:rsid w:val="1E463F1E"/>
    <w:rsid w:val="1F0A50B8"/>
    <w:rsid w:val="218D2419"/>
    <w:rsid w:val="22021A41"/>
    <w:rsid w:val="229161D0"/>
    <w:rsid w:val="23AC4FE0"/>
    <w:rsid w:val="23BB6164"/>
    <w:rsid w:val="26043303"/>
    <w:rsid w:val="26C36C65"/>
    <w:rsid w:val="28285D26"/>
    <w:rsid w:val="28AF1EBB"/>
    <w:rsid w:val="28D508D7"/>
    <w:rsid w:val="2AE25969"/>
    <w:rsid w:val="2B0C0D2B"/>
    <w:rsid w:val="2CAD5D47"/>
    <w:rsid w:val="2E9C0F87"/>
    <w:rsid w:val="2F5C1254"/>
    <w:rsid w:val="2FA40732"/>
    <w:rsid w:val="31121990"/>
    <w:rsid w:val="3187654A"/>
    <w:rsid w:val="33B02E00"/>
    <w:rsid w:val="35D80965"/>
    <w:rsid w:val="37CC7CC7"/>
    <w:rsid w:val="39C44CC0"/>
    <w:rsid w:val="3BE2474D"/>
    <w:rsid w:val="3BFE07FA"/>
    <w:rsid w:val="3CBE4F8C"/>
    <w:rsid w:val="3CEA487B"/>
    <w:rsid w:val="3CED2681"/>
    <w:rsid w:val="40D17DCD"/>
    <w:rsid w:val="41D83489"/>
    <w:rsid w:val="42E3472D"/>
    <w:rsid w:val="43CB173D"/>
    <w:rsid w:val="48783D76"/>
    <w:rsid w:val="48F84300"/>
    <w:rsid w:val="499A39B9"/>
    <w:rsid w:val="49AC0D58"/>
    <w:rsid w:val="4D046F69"/>
    <w:rsid w:val="4F837195"/>
    <w:rsid w:val="50810577"/>
    <w:rsid w:val="50C8637F"/>
    <w:rsid w:val="53576511"/>
    <w:rsid w:val="535C7B86"/>
    <w:rsid w:val="55460F86"/>
    <w:rsid w:val="56031AAA"/>
    <w:rsid w:val="58574ED7"/>
    <w:rsid w:val="58D52BCD"/>
    <w:rsid w:val="5A0554BD"/>
    <w:rsid w:val="5C281CBF"/>
    <w:rsid w:val="5D6F58B0"/>
    <w:rsid w:val="5D6F7A58"/>
    <w:rsid w:val="5F8965D7"/>
    <w:rsid w:val="5FDC2EBC"/>
    <w:rsid w:val="62834D6D"/>
    <w:rsid w:val="63DB5E63"/>
    <w:rsid w:val="64980963"/>
    <w:rsid w:val="65C27EE7"/>
    <w:rsid w:val="66636786"/>
    <w:rsid w:val="66AE1DD4"/>
    <w:rsid w:val="68D77510"/>
    <w:rsid w:val="69D33DAB"/>
    <w:rsid w:val="6A9C747A"/>
    <w:rsid w:val="6D912D45"/>
    <w:rsid w:val="6F985025"/>
    <w:rsid w:val="70344EA3"/>
    <w:rsid w:val="704B4AC8"/>
    <w:rsid w:val="707A2739"/>
    <w:rsid w:val="724F060A"/>
    <w:rsid w:val="72753097"/>
    <w:rsid w:val="761C5254"/>
    <w:rsid w:val="76827D2A"/>
    <w:rsid w:val="780472F2"/>
    <w:rsid w:val="78803E8C"/>
    <w:rsid w:val="78CC4B3D"/>
    <w:rsid w:val="78D00023"/>
    <w:rsid w:val="7AD60415"/>
    <w:rsid w:val="7B3813B3"/>
    <w:rsid w:val="7BA303C1"/>
    <w:rsid w:val="7F923F27"/>
    <w:rsid w:val="7FF47A7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before="26"/>
      <w:ind w:left="121"/>
    </w:pPr>
    <w:rPr>
      <w:rFonts w:ascii="宋体" w:hAnsi="宋体" w:eastAsia="宋体"/>
      <w:sz w:val="24"/>
      <w:szCs w:val="24"/>
    </w:rPr>
  </w:style>
  <w:style w:type="paragraph" w:styleId="5">
    <w:name w:val="annotation text"/>
    <w:basedOn w:val="1"/>
    <w:uiPriority w:val="0"/>
    <w:pPr>
      <w:jc w:val="left"/>
    </w:pPr>
  </w:style>
  <w:style w:type="paragraph" w:styleId="6">
    <w:name w:val="Body Text Indent"/>
    <w:basedOn w:val="1"/>
    <w:next w:val="7"/>
    <w:qFormat/>
    <w:uiPriority w:val="0"/>
    <w:pPr>
      <w:ind w:firstLine="630"/>
    </w:pPr>
    <w:rPr>
      <w:sz w:val="32"/>
      <w:szCs w:val="20"/>
    </w:r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99"/>
    <w:rPr>
      <w:rFonts w:ascii="宋体" w:hAnsi="Courier New" w:eastAsia="华文宋体" w:cs="宋体"/>
      <w:sz w:val="28"/>
      <w:szCs w:val="28"/>
    </w:rPr>
  </w:style>
  <w:style w:type="paragraph" w:styleId="9">
    <w:name w:val="Date"/>
    <w:basedOn w:val="1"/>
    <w:next w:val="1"/>
    <w:qFormat/>
    <w:uiPriority w:val="0"/>
    <w:pPr>
      <w:ind w:left="100" w:leftChars="2500"/>
    </w:pPr>
  </w:style>
  <w:style w:type="paragraph" w:styleId="10">
    <w:name w:val="Body Text First Indent 2"/>
    <w:basedOn w:val="6"/>
    <w:next w:val="11"/>
    <w:qFormat/>
    <w:uiPriority w:val="0"/>
    <w:pPr>
      <w:ind w:left="420" w:firstLine="420" w:firstLineChars="200"/>
    </w:pPr>
  </w:style>
  <w:style w:type="paragraph" w:styleId="11">
    <w:name w:val="List"/>
    <w:basedOn w:val="1"/>
    <w:qFormat/>
    <w:uiPriority w:val="0"/>
    <w:pPr>
      <w:ind w:left="200" w:hanging="200" w:hangingChars="200"/>
    </w:pPr>
    <w:rPr>
      <w:rFonts w:ascii="Calibri" w:hAnsi="Calibri"/>
      <w:szCs w:val="22"/>
    </w:rPr>
  </w:style>
  <w:style w:type="paragraph" w:styleId="12">
    <w:name w:val="header"/>
    <w:basedOn w:val="1"/>
    <w:qFormat/>
    <w:uiPriority w:val="0"/>
    <w:pPr>
      <w:pBdr>
        <w:bottom w:val="single" w:color="auto" w:sz="12" w:space="1"/>
      </w:pBdr>
      <w:tabs>
        <w:tab w:val="center" w:pos="4153"/>
        <w:tab w:val="right" w:pos="8306"/>
      </w:tabs>
      <w:snapToGrid w:val="0"/>
      <w:jc w:val="center"/>
    </w:pPr>
    <w:rPr>
      <w:rFonts w:eastAsia="宋体"/>
      <w:sz w:val="18"/>
      <w:szCs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Hyperlink"/>
    <w:basedOn w:val="14"/>
    <w:qFormat/>
    <w:uiPriority w:val="0"/>
    <w:rPr>
      <w:color w:val="0000FF"/>
      <w:u w:val="single"/>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8">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9">
    <w:name w:val="02标题二"/>
    <w:basedOn w:val="1"/>
    <w:qFormat/>
    <w:uiPriority w:val="0"/>
    <w:pPr>
      <w:ind w:firstLine="562" w:firstLineChars="200"/>
    </w:pPr>
    <w:rPr>
      <w:rFonts w:cs="华文仿宋"/>
      <w:b/>
      <w:bCs/>
      <w:sz w:val="28"/>
      <w:szCs w:val="28"/>
    </w:rPr>
  </w:style>
  <w:style w:type="paragraph" w:customStyle="1" w:styleId="20">
    <w:name w:val="TOC 标题1"/>
    <w:basedOn w:val="3"/>
    <w:next w:val="1"/>
    <w:qFormat/>
    <w:uiPriority w:val="39"/>
    <w:pPr>
      <w:tabs>
        <w:tab w:val="left" w:pos="1800"/>
      </w:tabs>
      <w:spacing w:before="480" w:line="276" w:lineRule="auto"/>
      <w:outlineLvl w:val="9"/>
    </w:pPr>
    <w:rPr>
      <w:rFonts w:ascii="仿宋" w:hAnsi="仿宋" w:eastAsia="仿宋"/>
      <w:color w:val="000000"/>
      <w:kern w:val="0"/>
      <w:sz w:val="32"/>
      <w:szCs w:val="32"/>
    </w:r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002标题"/>
    <w:basedOn w:val="1"/>
    <w:qFormat/>
    <w:uiPriority w:val="99"/>
    <w:pPr>
      <w:jc w:val="center"/>
    </w:pPr>
    <w:rPr>
      <w:sz w:val="30"/>
      <w:szCs w:val="30"/>
    </w:rPr>
  </w:style>
  <w:style w:type="paragraph" w:customStyle="1" w:styleId="23">
    <w:name w:val="List Paragraph"/>
    <w:basedOn w:val="1"/>
    <w:qFormat/>
    <w:uiPriority w:val="34"/>
    <w:pPr>
      <w:ind w:firstLine="420" w:firstLineChars="200"/>
    </w:pPr>
  </w:style>
  <w:style w:type="paragraph" w:customStyle="1" w:styleId="24">
    <w:name w:val="正文正"/>
    <w:basedOn w:val="1"/>
    <w:qFormat/>
    <w:uiPriority w:val="0"/>
    <w:pPr>
      <w:spacing w:line="560" w:lineRule="exact"/>
      <w:ind w:firstLine="561"/>
    </w:pPr>
    <w:rPr>
      <w:rFonts w:ascii="Calibri" w:hAnsi="Calibri" w:eastAsia="仿宋_GB2312" w:cs="宋体"/>
      <w:sz w:val="28"/>
      <w:szCs w:val="24"/>
    </w:rPr>
  </w:style>
  <w:style w:type="character" w:customStyle="1" w:styleId="25">
    <w:name w:val="样式 仿宋"/>
    <w:qFormat/>
    <w:uiPriority w:val="0"/>
    <w:rPr>
      <w:rFonts w:ascii="仿宋" w:hAnsi="仿宋" w:eastAsia="仿宋"/>
      <w:kern w:val="1"/>
    </w:rPr>
  </w:style>
  <w:style w:type="table" w:customStyle="1" w:styleId="26">
    <w:name w:val="Table Normal"/>
    <w:unhideWhenUsed/>
    <w:qFormat/>
    <w:uiPriority w:val="0"/>
    <w:tblPr>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1389</Words>
  <Characters>1557</Characters>
  <Lines>0</Lines>
  <Paragraphs>0</Paragraphs>
  <ScaleCrop>false</ScaleCrop>
  <LinksUpToDate>false</LinksUpToDate>
  <CharactersWithSpaces>1617</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2023-01-30T00:56:00Z</dcterms:created>
  <dc:creator>Administrator</dc:creator>
  <cp:lastModifiedBy>1</cp:lastModifiedBy>
  <cp:lastPrinted>2025-03-31T01:02:00Z</cp:lastPrinted>
  <dcterms:modified xsi:type="dcterms:W3CDTF">2025-04-15T07:21:42Z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ICV">
    <vt:lpwstr>F4A854DE7BD84C069B2669217B6AAD38</vt:lpwstr>
  </property>
</Properties>
</file>