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1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0" w:lineRule="atLeast"/>
        <w:ind w:left="0" w:right="0"/>
        <w:jc w:val="center"/>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cstheme="minorEastAsia"/>
          <w:b/>
          <w:bCs/>
          <w:sz w:val="32"/>
          <w:szCs w:val="32"/>
          <w:lang w:val="en-US" w:eastAsia="zh-CN"/>
        </w:rPr>
        <w:t>采购需求（三次）</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医用修复敷料参数</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b/>
          <w:bCs/>
          <w:sz w:val="24"/>
          <w:szCs w:val="24"/>
          <w:lang w:val="en-US" w:eastAsia="zh-CN"/>
        </w:rPr>
        <w:t>1、面霜</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Theme="minorEastAsia" w:hAnsiTheme="minorEastAsia" w:eastAsiaTheme="minorEastAsia" w:cstheme="minorEastAsia"/>
          <w:sz w:val="24"/>
          <w:szCs w:val="24"/>
          <w:lang w:val="en-US" w:eastAsia="zh-CN"/>
        </w:rPr>
      </w:pPr>
      <w:r>
        <w:rPr>
          <w:rFonts w:hint="eastAsia" w:ascii="宋体" w:hAnsi="宋体" w:eastAsia="宋体" w:cs="宋体"/>
          <w:color w:val="auto"/>
          <w:sz w:val="24"/>
          <w:highlight w:val="none"/>
          <w:lang w:val="zh-CN"/>
        </w:rPr>
        <w:t>☆</w:t>
      </w:r>
      <w:r>
        <w:rPr>
          <w:rFonts w:hint="eastAsia" w:asciiTheme="minorEastAsia" w:hAnsiTheme="minorEastAsia" w:eastAsiaTheme="minorEastAsia" w:cstheme="minorEastAsia"/>
          <w:sz w:val="24"/>
          <w:szCs w:val="24"/>
          <w:lang w:val="en-US" w:eastAsia="zh-CN"/>
        </w:rPr>
        <w:t>主要成分：透明质酸、神经酰胺</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主要结构及构成：由透明质酸钠、神经酰胺、甘油、单双硬脂酸</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甘油、二甲硅油、黄原胶、苯氧乙醇和纯化水组成</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规格：50g/瓶/盒，MRD(G)</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适用范围</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适用于</w:t>
      </w:r>
      <w:r>
        <w:rPr>
          <w:rFonts w:hint="eastAsia" w:asciiTheme="minorEastAsia" w:hAnsiTheme="minorEastAsia" w:eastAsiaTheme="minorEastAsia" w:cstheme="minorEastAsia"/>
          <w:sz w:val="24"/>
          <w:szCs w:val="24"/>
          <w:lang w:eastAsia="zh-CN"/>
        </w:rPr>
        <w:t>浅表非感染性创面护理，以及轻度日晒伤、敏感性皮肤激素依赖性皮炎等。</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Theme="minorEastAsia" w:hAnsiTheme="minorEastAsia" w:eastAsiaTheme="minorEastAsia" w:cstheme="minorEastAsia"/>
          <w:b/>
          <w:bCs/>
          <w:sz w:val="24"/>
          <w:szCs w:val="24"/>
          <w:lang w:eastAsia="zh-CN"/>
        </w:rPr>
      </w:pPr>
      <w:r>
        <w:rPr>
          <w:rFonts w:hint="eastAsia" w:asciiTheme="minorEastAsia" w:hAnsiTheme="minorEastAsia" w:eastAsiaTheme="minorEastAsia" w:cstheme="minorEastAsia"/>
          <w:b/>
          <w:bCs/>
          <w:sz w:val="24"/>
          <w:szCs w:val="24"/>
          <w:lang w:val="en-US" w:eastAsia="zh-CN"/>
        </w:rPr>
        <w:t>2、</w:t>
      </w:r>
      <w:r>
        <w:rPr>
          <w:rFonts w:hint="eastAsia" w:asciiTheme="minorEastAsia" w:hAnsiTheme="minorEastAsia" w:eastAsiaTheme="minorEastAsia" w:cstheme="minorEastAsia"/>
          <w:b/>
          <w:bCs/>
          <w:sz w:val="24"/>
          <w:szCs w:val="24"/>
          <w:lang w:eastAsia="zh-CN"/>
        </w:rPr>
        <w:t>乳液，</w:t>
      </w:r>
      <w:r>
        <w:rPr>
          <w:rFonts w:hint="eastAsia" w:asciiTheme="minorEastAsia" w:hAnsiTheme="minorEastAsia" w:eastAsiaTheme="minorEastAsia" w:cstheme="minorEastAsia"/>
          <w:sz w:val="24"/>
          <w:szCs w:val="24"/>
        </w:rPr>
        <w:t>涂抹型</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Theme="minorEastAsia" w:hAnsiTheme="minorEastAsia" w:eastAsiaTheme="minorEastAsia" w:cstheme="minorEastAsia"/>
          <w:sz w:val="24"/>
          <w:szCs w:val="24"/>
          <w:lang w:val="en-US" w:eastAsia="zh-CN"/>
        </w:rPr>
      </w:pPr>
      <w:r>
        <w:rPr>
          <w:rFonts w:hint="eastAsia" w:ascii="宋体" w:hAnsi="宋体" w:eastAsia="宋体" w:cs="宋体"/>
          <w:color w:val="auto"/>
          <w:sz w:val="24"/>
          <w:highlight w:val="none"/>
          <w:lang w:val="zh-CN"/>
        </w:rPr>
        <w:t>☆</w:t>
      </w:r>
      <w:r>
        <w:rPr>
          <w:rFonts w:hint="eastAsia" w:asciiTheme="minorEastAsia" w:hAnsiTheme="minorEastAsia" w:eastAsiaTheme="minorEastAsia" w:cstheme="minorEastAsia"/>
          <w:sz w:val="24"/>
          <w:szCs w:val="24"/>
          <w:lang w:val="en-US" w:eastAsia="zh-CN"/>
        </w:rPr>
        <w:t>主要成分：透明质酸</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主要结构及构成</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由透明质酸钠和纯</w:t>
      </w:r>
      <w:r>
        <w:rPr>
          <w:rFonts w:hint="eastAsia" w:asciiTheme="minorEastAsia" w:hAnsiTheme="minorEastAsia" w:eastAsiaTheme="minorEastAsia" w:cstheme="minorEastAsia"/>
          <w:color w:val="000000"/>
          <w:sz w:val="24"/>
          <w:szCs w:val="24"/>
        </w:rPr>
        <w:t>化</w:t>
      </w:r>
      <w:r>
        <w:rPr>
          <w:rFonts w:hint="eastAsia" w:asciiTheme="minorEastAsia" w:hAnsiTheme="minorEastAsia" w:eastAsiaTheme="minorEastAsia" w:cstheme="minorEastAsia"/>
          <w:sz w:val="24"/>
          <w:szCs w:val="24"/>
        </w:rPr>
        <w:t>水组成</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规格</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HZ(G)</w:t>
      </w:r>
      <w:r>
        <w:rPr>
          <w:rFonts w:hint="eastAsia" w:asciiTheme="minorEastAsia" w:hAnsiTheme="minorEastAsia" w:eastAsiaTheme="minorEastAsia" w:cstheme="minorEastAsia"/>
          <w:color w:val="000000"/>
          <w:sz w:val="24"/>
          <w:szCs w:val="24"/>
        </w:rPr>
        <w:t>-03</w:t>
      </w:r>
      <w:r>
        <w:rPr>
          <w:rFonts w:hint="eastAsia" w:asciiTheme="minorEastAsia" w:hAnsiTheme="minorEastAsia" w:eastAsiaTheme="minorEastAsia" w:cstheme="minorEastAsia"/>
          <w:sz w:val="24"/>
          <w:szCs w:val="24"/>
        </w:rPr>
        <w:t>：80g</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适用范围</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适用于激光、光子嫩肤、微晶磨削、果酸活肤术后的护理。</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3、面膜，</w:t>
      </w:r>
      <w:r>
        <w:rPr>
          <w:rFonts w:hint="eastAsia" w:asciiTheme="minorEastAsia" w:hAnsiTheme="minorEastAsia" w:eastAsiaTheme="minorEastAsia" w:cstheme="minorEastAsia"/>
          <w:sz w:val="24"/>
          <w:szCs w:val="24"/>
          <w:lang w:val="en-US" w:eastAsia="zh-CN"/>
        </w:rPr>
        <w:t xml:space="preserve">贴敷型 </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Theme="minorEastAsia" w:hAnsiTheme="minorEastAsia" w:eastAsiaTheme="minorEastAsia" w:cstheme="minorEastAsia"/>
          <w:sz w:val="24"/>
          <w:szCs w:val="24"/>
          <w:lang w:val="en-US" w:eastAsia="zh-CN"/>
        </w:rPr>
      </w:pPr>
      <w:r>
        <w:rPr>
          <w:rFonts w:hint="eastAsia" w:ascii="宋体" w:hAnsi="宋体" w:eastAsia="宋体" w:cs="宋体"/>
          <w:color w:val="auto"/>
          <w:sz w:val="24"/>
          <w:highlight w:val="none"/>
          <w:lang w:val="zh-CN"/>
        </w:rPr>
        <w:t>☆</w:t>
      </w:r>
      <w:r>
        <w:rPr>
          <w:rFonts w:hint="eastAsia" w:asciiTheme="minorEastAsia" w:hAnsiTheme="minorEastAsia" w:eastAsiaTheme="minorEastAsia" w:cstheme="minorEastAsia"/>
          <w:sz w:val="24"/>
          <w:szCs w:val="24"/>
          <w:lang w:val="en-US" w:eastAsia="zh-CN"/>
        </w:rPr>
        <w:t>主要成分：透明质酸</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主要结构及构成：由透明质酸钠和无纺布组成</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规格：椭圆形（T）T-2</w:t>
      </w:r>
    </w:p>
    <w:p>
      <w:pPr>
        <w:pStyle w:val="16"/>
        <w:keepNext w:val="0"/>
        <w:keepLines w:val="0"/>
        <w:pageBreakBefore w:val="0"/>
        <w:widowControl w:val="0"/>
        <w:tabs>
          <w:tab w:val="left" w:pos="2766"/>
        </w:tabs>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Theme="minorHAnsi" w:hAnsiTheme="minorHAnsi" w:eastAsiaTheme="minorEastAsia" w:cstheme="minorBidi"/>
          <w:b w:val="0"/>
          <w:bCs w:val="0"/>
          <w:kern w:val="2"/>
          <w:sz w:val="28"/>
          <w:szCs w:val="28"/>
          <w:lang w:val="en-US" w:eastAsia="zh-CN" w:bidi="ar-SA"/>
        </w:rPr>
      </w:pPr>
      <w:r>
        <w:rPr>
          <w:rFonts w:hint="eastAsia" w:asciiTheme="minorEastAsia" w:hAnsiTheme="minorEastAsia" w:eastAsiaTheme="minorEastAsia" w:cstheme="minorEastAsia"/>
          <w:b w:val="0"/>
          <w:bCs w:val="0"/>
          <w:kern w:val="2"/>
          <w:sz w:val="24"/>
          <w:szCs w:val="24"/>
          <w:lang w:val="en-US" w:eastAsia="zh-CN" w:bidi="ar-SA"/>
        </w:rPr>
        <w:t>适用范围：适用于激光、光子嫩肤、微晶磨削、果酸活肤术后的护理</w:t>
      </w:r>
    </w:p>
    <w:p>
      <w:pPr>
        <w:pStyle w:val="16"/>
        <w:tabs>
          <w:tab w:val="left" w:pos="2766"/>
        </w:tabs>
        <w:spacing w:line="360" w:lineRule="auto"/>
        <w:ind w:firstLine="0" w:firstLineChars="0"/>
        <w:jc w:val="left"/>
        <w:rPr>
          <w:rFonts w:hint="eastAsia" w:asciiTheme="minorEastAsia" w:hAnsiTheme="minorEastAsia" w:cstheme="minorEastAsia"/>
          <w:b/>
          <w:bCs/>
          <w:color w:val="auto"/>
          <w:kern w:val="0"/>
          <w:sz w:val="24"/>
          <w:szCs w:val="24"/>
          <w:highlight w:val="none"/>
          <w:lang w:val="en-US" w:eastAsia="zh-CN" w:bidi="ar"/>
        </w:rPr>
      </w:pPr>
    </w:p>
    <w:p>
      <w:pPr>
        <w:pStyle w:val="16"/>
        <w:tabs>
          <w:tab w:val="left" w:pos="2766"/>
        </w:tabs>
        <w:spacing w:line="360" w:lineRule="auto"/>
        <w:ind w:firstLine="0" w:firstLineChars="0"/>
        <w:jc w:val="left"/>
        <w:rPr>
          <w:rFonts w:hint="eastAsia" w:asciiTheme="minorEastAsia" w:hAnsiTheme="minorEastAsia" w:cstheme="minorEastAsia"/>
          <w:b w:val="0"/>
          <w:bCs w:val="0"/>
          <w:color w:val="auto"/>
          <w:kern w:val="0"/>
          <w:sz w:val="24"/>
          <w:szCs w:val="24"/>
          <w:highlight w:val="none"/>
          <w:lang w:val="en-US" w:eastAsia="zh-CN" w:bidi="ar"/>
        </w:rPr>
      </w:pPr>
      <w:r>
        <w:rPr>
          <w:rFonts w:hint="eastAsia" w:asciiTheme="minorEastAsia" w:hAnsiTheme="minorEastAsia" w:cstheme="minorEastAsia"/>
          <w:b w:val="0"/>
          <w:bCs w:val="0"/>
          <w:color w:val="auto"/>
          <w:kern w:val="0"/>
          <w:sz w:val="24"/>
          <w:szCs w:val="24"/>
          <w:highlight w:val="none"/>
          <w:lang w:val="en-US" w:eastAsia="zh-CN" w:bidi="ar"/>
        </w:rPr>
        <w:t>面霜控制价：148元/瓶/盒</w:t>
      </w:r>
    </w:p>
    <w:p>
      <w:pPr>
        <w:pStyle w:val="16"/>
        <w:tabs>
          <w:tab w:val="left" w:pos="2766"/>
        </w:tabs>
        <w:spacing w:line="360" w:lineRule="auto"/>
        <w:ind w:firstLine="0" w:firstLineChars="0"/>
        <w:jc w:val="left"/>
        <w:rPr>
          <w:rFonts w:hint="eastAsia" w:asciiTheme="minorEastAsia" w:hAnsiTheme="minorEastAsia" w:cstheme="minorEastAsia"/>
          <w:b w:val="0"/>
          <w:bCs w:val="0"/>
          <w:color w:val="auto"/>
          <w:kern w:val="0"/>
          <w:sz w:val="24"/>
          <w:szCs w:val="24"/>
          <w:highlight w:val="none"/>
          <w:lang w:val="en-US" w:eastAsia="zh-CN" w:bidi="ar"/>
        </w:rPr>
      </w:pPr>
      <w:r>
        <w:rPr>
          <w:rFonts w:hint="eastAsia" w:asciiTheme="minorEastAsia" w:hAnsiTheme="minorEastAsia" w:cstheme="minorEastAsia"/>
          <w:b w:val="0"/>
          <w:bCs w:val="0"/>
          <w:color w:val="auto"/>
          <w:kern w:val="0"/>
          <w:sz w:val="24"/>
          <w:szCs w:val="24"/>
          <w:highlight w:val="none"/>
          <w:lang w:val="en-US" w:eastAsia="zh-CN" w:bidi="ar"/>
        </w:rPr>
        <w:t>乳液控制价：188元/瓶/盒</w:t>
      </w:r>
    </w:p>
    <w:p>
      <w:pPr>
        <w:pStyle w:val="16"/>
        <w:tabs>
          <w:tab w:val="left" w:pos="2766"/>
        </w:tabs>
        <w:spacing w:line="360" w:lineRule="auto"/>
        <w:ind w:firstLine="0" w:firstLineChars="0"/>
        <w:jc w:val="left"/>
        <w:rPr>
          <w:rFonts w:hint="eastAsia" w:asciiTheme="minorEastAsia" w:hAnsiTheme="minorEastAsia" w:cstheme="minorEastAsia"/>
          <w:b w:val="0"/>
          <w:bCs w:val="0"/>
          <w:color w:val="auto"/>
          <w:kern w:val="0"/>
          <w:sz w:val="24"/>
          <w:szCs w:val="24"/>
          <w:highlight w:val="none"/>
          <w:lang w:val="en-US" w:eastAsia="zh-CN" w:bidi="ar"/>
        </w:rPr>
      </w:pPr>
      <w:r>
        <w:rPr>
          <w:rFonts w:hint="eastAsia" w:asciiTheme="minorEastAsia" w:hAnsiTheme="minorEastAsia" w:cstheme="minorEastAsia"/>
          <w:b w:val="0"/>
          <w:bCs w:val="0"/>
          <w:color w:val="auto"/>
          <w:kern w:val="0"/>
          <w:sz w:val="24"/>
          <w:szCs w:val="24"/>
          <w:highlight w:val="none"/>
          <w:lang w:val="en-US" w:eastAsia="zh-CN" w:bidi="ar"/>
        </w:rPr>
        <w:t>面膜控制价：26元/片</w:t>
      </w:r>
    </w:p>
    <w:p>
      <w:pPr>
        <w:pStyle w:val="16"/>
        <w:tabs>
          <w:tab w:val="left" w:pos="2766"/>
        </w:tabs>
        <w:spacing w:line="360" w:lineRule="auto"/>
        <w:ind w:firstLine="0" w:firstLineChars="0"/>
        <w:jc w:val="left"/>
        <w:rPr>
          <w:rFonts w:hint="eastAsia" w:asciiTheme="minorEastAsia" w:hAnsiTheme="minorEastAsia" w:cstheme="minorEastAsia"/>
          <w:b/>
          <w:bCs/>
          <w:color w:val="auto"/>
          <w:kern w:val="0"/>
          <w:sz w:val="24"/>
          <w:szCs w:val="24"/>
          <w:highlight w:val="none"/>
          <w:lang w:val="en-US" w:eastAsia="zh-CN" w:bidi="ar"/>
        </w:rPr>
      </w:pPr>
    </w:p>
    <w:p>
      <w:pPr>
        <w:pStyle w:val="16"/>
        <w:tabs>
          <w:tab w:val="left" w:pos="2766"/>
        </w:tabs>
        <w:spacing w:line="360" w:lineRule="auto"/>
        <w:ind w:firstLine="0" w:firstLineChars="0"/>
        <w:jc w:val="left"/>
        <w:rPr>
          <w:rFonts w:hint="eastAsia" w:asciiTheme="minorEastAsia" w:hAnsiTheme="minorEastAsia" w:eastAsiaTheme="minorEastAsia" w:cstheme="minorEastAsia"/>
          <w:b w:val="0"/>
          <w:bCs w:val="0"/>
          <w:color w:val="auto"/>
          <w:kern w:val="0"/>
          <w:sz w:val="24"/>
          <w:szCs w:val="24"/>
          <w:highlight w:val="none"/>
          <w:lang w:val="en-US" w:eastAsia="zh-CN" w:bidi="ar"/>
        </w:rPr>
      </w:pPr>
      <w:r>
        <w:rPr>
          <w:rFonts w:hint="eastAsia" w:asciiTheme="minorEastAsia" w:hAnsiTheme="minorEastAsia" w:cstheme="minorEastAsia"/>
          <w:b/>
          <w:bCs/>
          <w:color w:val="auto"/>
          <w:kern w:val="0"/>
          <w:sz w:val="24"/>
          <w:szCs w:val="24"/>
          <w:highlight w:val="none"/>
          <w:lang w:val="en-US" w:eastAsia="zh-CN" w:bidi="ar"/>
        </w:rPr>
        <w:t>说明：</w:t>
      </w:r>
      <w:r>
        <w:rPr>
          <w:rFonts w:ascii="宋体" w:hAnsi="宋体" w:eastAsia="宋体" w:cs="宋体"/>
          <w:sz w:val="24"/>
          <w:szCs w:val="24"/>
        </w:rPr>
        <w:t>如某技术参数或要求属于个别品牌专有，则该技术参数及要求不具有限制性，投标人可对该参数或要求进行适当调整，并应当在投标文件中说明调整的理由，且该调整须经</w:t>
      </w:r>
      <w:r>
        <w:rPr>
          <w:rFonts w:hint="eastAsia" w:ascii="宋体" w:hAnsi="宋体" w:eastAsia="宋体" w:cs="宋体"/>
          <w:sz w:val="24"/>
          <w:szCs w:val="24"/>
          <w:lang w:val="en-US" w:eastAsia="zh-CN"/>
        </w:rPr>
        <w:t>评审小组</w:t>
      </w:r>
      <w:r>
        <w:rPr>
          <w:rFonts w:ascii="宋体" w:hAnsi="宋体" w:eastAsia="宋体" w:cs="宋体"/>
          <w:sz w:val="24"/>
          <w:szCs w:val="24"/>
        </w:rPr>
        <w:t>认可。</w:t>
      </w:r>
    </w:p>
    <w:p>
      <w:pPr>
        <w:pStyle w:val="16"/>
        <w:tabs>
          <w:tab w:val="left" w:pos="2766"/>
        </w:tabs>
        <w:spacing w:line="360" w:lineRule="auto"/>
        <w:ind w:firstLine="0" w:firstLineChars="0"/>
        <w:jc w:val="left"/>
        <w:rPr>
          <w:rFonts w:hint="eastAsia" w:asciiTheme="minorEastAsia" w:hAnsiTheme="minorEastAsia" w:eastAsiaTheme="minorEastAsia" w:cstheme="minorEastAsia"/>
          <w:b/>
          <w:bCs/>
          <w:color w:val="auto"/>
          <w:kern w:val="0"/>
          <w:sz w:val="28"/>
          <w:szCs w:val="28"/>
          <w:highlight w:val="none"/>
          <w:lang w:val="en-US" w:eastAsia="zh-CN" w:bidi="ar"/>
        </w:rPr>
      </w:pPr>
    </w:p>
    <w:p>
      <w:pPr>
        <w:pStyle w:val="16"/>
        <w:tabs>
          <w:tab w:val="left" w:pos="2766"/>
        </w:tabs>
        <w:spacing w:line="360" w:lineRule="auto"/>
        <w:ind w:firstLine="0" w:firstLineChars="0"/>
        <w:jc w:val="left"/>
        <w:rPr>
          <w:rFonts w:hint="eastAsia" w:asciiTheme="minorEastAsia" w:hAnsiTheme="minorEastAsia" w:eastAsiaTheme="minorEastAsia" w:cstheme="minorEastAsia"/>
          <w:b/>
          <w:bCs/>
          <w:color w:val="auto"/>
          <w:kern w:val="0"/>
          <w:sz w:val="28"/>
          <w:szCs w:val="28"/>
          <w:highlight w:val="none"/>
          <w:lang w:val="en-US" w:eastAsia="zh-CN" w:bidi="ar"/>
        </w:rPr>
      </w:pPr>
      <w:r>
        <w:rPr>
          <w:rFonts w:hint="eastAsia" w:asciiTheme="minorEastAsia" w:hAnsiTheme="minorEastAsia" w:eastAsiaTheme="minorEastAsia" w:cstheme="minorEastAsia"/>
          <w:b/>
          <w:bCs/>
          <w:color w:val="auto"/>
          <w:kern w:val="0"/>
          <w:sz w:val="28"/>
          <w:szCs w:val="28"/>
          <w:highlight w:val="none"/>
          <w:lang w:val="en-US" w:eastAsia="zh-CN" w:bidi="ar"/>
        </w:rPr>
        <w:t>评审（满分6</w:t>
      </w:r>
      <w:r>
        <w:rPr>
          <w:rFonts w:hint="eastAsia" w:asciiTheme="minorEastAsia" w:hAnsiTheme="minorEastAsia" w:cstheme="minorEastAsia"/>
          <w:b/>
          <w:bCs/>
          <w:color w:val="auto"/>
          <w:kern w:val="0"/>
          <w:sz w:val="28"/>
          <w:szCs w:val="28"/>
          <w:highlight w:val="none"/>
          <w:lang w:val="en-US" w:eastAsia="zh-CN" w:bidi="ar"/>
        </w:rPr>
        <w:t>6</w:t>
      </w:r>
      <w:r>
        <w:rPr>
          <w:rFonts w:hint="eastAsia" w:asciiTheme="minorEastAsia" w:hAnsiTheme="minorEastAsia" w:eastAsiaTheme="minorEastAsia" w:cstheme="minorEastAsia"/>
          <w:b/>
          <w:bCs/>
          <w:color w:val="auto"/>
          <w:kern w:val="0"/>
          <w:sz w:val="28"/>
          <w:szCs w:val="28"/>
          <w:highlight w:val="none"/>
          <w:lang w:val="en-US" w:eastAsia="zh-CN" w:bidi="ar"/>
        </w:rPr>
        <w:t>分）</w:t>
      </w:r>
    </w:p>
    <w:tbl>
      <w:tblPr>
        <w:tblStyle w:val="14"/>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1487"/>
        <w:gridCol w:w="6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4" w:type="dxa"/>
            <w:tcBorders>
              <w:top w:val="single" w:color="auto" w:sz="4" w:space="0"/>
              <w:left w:val="single" w:color="auto" w:sz="4" w:space="0"/>
              <w:bottom w:val="single" w:color="auto" w:sz="4" w:space="0"/>
              <w:right w:val="single" w:color="auto" w:sz="4" w:space="0"/>
            </w:tcBorders>
            <w:vAlign w:val="center"/>
          </w:tcPr>
          <w:p>
            <w:pPr>
              <w:tabs>
                <w:tab w:val="left" w:pos="0"/>
              </w:tabs>
              <w:snapToGrid w:val="0"/>
              <w:spacing w:line="360" w:lineRule="auto"/>
              <w:jc w:val="center"/>
              <w:rPr>
                <w:rFonts w:ascii="宋体" w:hAnsi="宋体" w:cs="宋体"/>
                <w:color w:val="auto"/>
                <w:sz w:val="24"/>
                <w:highlight w:val="none"/>
              </w:rPr>
            </w:pPr>
            <w:bookmarkStart w:id="0" w:name="OLE_LINK3"/>
            <w:r>
              <w:rPr>
                <w:rFonts w:hint="eastAsia" w:ascii="宋体" w:hAnsi="宋体" w:cs="宋体"/>
                <w:color w:val="auto"/>
                <w:sz w:val="24"/>
                <w:highlight w:val="none"/>
              </w:rPr>
              <w:t>序号</w:t>
            </w:r>
          </w:p>
        </w:tc>
        <w:tc>
          <w:tcPr>
            <w:tcW w:w="1487" w:type="dxa"/>
            <w:tcBorders>
              <w:top w:val="single" w:color="auto" w:sz="4" w:space="0"/>
              <w:left w:val="single" w:color="auto" w:sz="4" w:space="0"/>
              <w:bottom w:val="single" w:color="auto" w:sz="4" w:space="0"/>
              <w:right w:val="single" w:color="auto" w:sz="4" w:space="0"/>
            </w:tcBorders>
            <w:vAlign w:val="center"/>
          </w:tcPr>
          <w:p>
            <w:pPr>
              <w:tabs>
                <w:tab w:val="left" w:pos="0"/>
              </w:tabs>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评分因素</w:t>
            </w:r>
          </w:p>
        </w:tc>
        <w:tc>
          <w:tcPr>
            <w:tcW w:w="6211" w:type="dxa"/>
            <w:tcBorders>
              <w:top w:val="single" w:color="auto" w:sz="4" w:space="0"/>
              <w:left w:val="single" w:color="auto" w:sz="4" w:space="0"/>
              <w:bottom w:val="single" w:color="auto" w:sz="4" w:space="0"/>
              <w:right w:val="single" w:color="auto" w:sz="4" w:space="0"/>
            </w:tcBorders>
            <w:vAlign w:val="center"/>
          </w:tcPr>
          <w:p>
            <w:pPr>
              <w:tabs>
                <w:tab w:val="left" w:pos="0"/>
              </w:tabs>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4" w:type="dxa"/>
            <w:tcBorders>
              <w:top w:val="single" w:color="auto" w:sz="4" w:space="0"/>
              <w:left w:val="single" w:color="auto" w:sz="4" w:space="0"/>
              <w:bottom w:val="single" w:color="auto" w:sz="4" w:space="0"/>
              <w:right w:val="single" w:color="auto" w:sz="4" w:space="0"/>
            </w:tcBorders>
            <w:vAlign w:val="center"/>
          </w:tcPr>
          <w:p>
            <w:pPr>
              <w:tabs>
                <w:tab w:val="left" w:pos="0"/>
              </w:tabs>
              <w:snapToGrid w:val="0"/>
              <w:spacing w:line="360" w:lineRule="auto"/>
              <w:jc w:val="center"/>
              <w:rPr>
                <w:rFonts w:ascii="宋体" w:hAnsi="宋体" w:cs="宋体"/>
                <w:color w:val="auto"/>
                <w:sz w:val="24"/>
                <w:highlight w:val="none"/>
              </w:rPr>
            </w:pPr>
            <w:r>
              <w:rPr>
                <w:rFonts w:ascii="宋体" w:hAnsi="宋体" w:cs="宋体"/>
                <w:color w:val="auto"/>
                <w:sz w:val="24"/>
                <w:highlight w:val="none"/>
              </w:rPr>
              <w:t>1</w:t>
            </w:r>
          </w:p>
        </w:tc>
        <w:tc>
          <w:tcPr>
            <w:tcW w:w="148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zh-CN"/>
              </w:rPr>
              <w:t>技术参数（</w:t>
            </w:r>
            <w:r>
              <w:rPr>
                <w:rFonts w:hint="eastAsia" w:ascii="宋体" w:hAnsi="宋体" w:cs="宋体"/>
                <w:color w:val="auto"/>
                <w:sz w:val="24"/>
                <w:highlight w:val="none"/>
                <w:lang w:val="en-US" w:eastAsia="zh-CN"/>
              </w:rPr>
              <w:t>15</w:t>
            </w:r>
            <w:r>
              <w:rPr>
                <w:rFonts w:hint="eastAsia" w:ascii="宋体" w:hAnsi="宋体" w:cs="宋体"/>
                <w:color w:val="auto"/>
                <w:sz w:val="24"/>
                <w:highlight w:val="none"/>
              </w:rPr>
              <w:t>分</w:t>
            </w:r>
            <w:r>
              <w:rPr>
                <w:rFonts w:hint="eastAsia" w:ascii="宋体" w:hAnsi="宋体" w:cs="宋体"/>
                <w:color w:val="auto"/>
                <w:sz w:val="24"/>
                <w:highlight w:val="none"/>
                <w:lang w:val="zh-CN"/>
              </w:rPr>
              <w:t>）</w:t>
            </w:r>
          </w:p>
        </w:tc>
        <w:tc>
          <w:tcPr>
            <w:tcW w:w="62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带“☆”参数（</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val="zh-CN"/>
              </w:rPr>
              <w:t>项）每满足一项得</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val="zh-CN"/>
              </w:rPr>
              <w:t>分，最高得</w:t>
            </w:r>
            <w:r>
              <w:rPr>
                <w:rFonts w:hint="eastAsia" w:ascii="宋体" w:hAnsi="宋体" w:eastAsia="宋体" w:cs="宋体"/>
                <w:color w:val="auto"/>
                <w:sz w:val="24"/>
                <w:highlight w:val="none"/>
                <w:lang w:val="en-US" w:eastAsia="zh-CN"/>
              </w:rPr>
              <w:t>15</w:t>
            </w:r>
            <w:r>
              <w:rPr>
                <w:rFonts w:hint="eastAsia" w:ascii="宋体" w:hAnsi="宋体" w:eastAsia="宋体" w:cs="宋体"/>
                <w:color w:val="auto"/>
                <w:sz w:val="24"/>
                <w:highlight w:val="none"/>
                <w:lang w:val="zh-CN"/>
              </w:rPr>
              <w:t xml:space="preserve">分。 </w:t>
            </w:r>
          </w:p>
          <w:p>
            <w:pPr>
              <w:snapToGrid w:val="0"/>
              <w:spacing w:line="360" w:lineRule="auto"/>
              <w:rPr>
                <w:rFonts w:ascii="宋体" w:hAnsi="宋体" w:cs="宋体"/>
                <w:color w:val="auto"/>
                <w:sz w:val="24"/>
                <w:highlight w:val="none"/>
                <w:lang w:val="zh-CN"/>
              </w:rPr>
            </w:pPr>
            <w:r>
              <w:rPr>
                <w:rFonts w:hint="eastAsia" w:ascii="宋体" w:hAnsi="宋体" w:eastAsia="宋体" w:cs="宋体"/>
                <w:color w:val="auto"/>
                <w:sz w:val="24"/>
                <w:highlight w:val="none"/>
                <w:lang w:val="zh-CN" w:eastAsia="zh-CN"/>
              </w:rPr>
              <w:t>评审依据：要求提供证明材料，需根据采购需求提供相关证明材料扫描件放入</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lang w:val="zh-CN" w:eastAsia="zh-CN"/>
              </w:rPr>
              <w:t>文件。（</w:t>
            </w:r>
            <w:r>
              <w:rPr>
                <w:rFonts w:hint="eastAsia" w:ascii="宋体" w:hAnsi="宋体" w:eastAsia="宋体" w:cs="宋体"/>
                <w:color w:val="auto"/>
                <w:sz w:val="24"/>
                <w:highlight w:val="none"/>
                <w:lang w:val="en-US" w:eastAsia="zh-CN"/>
              </w:rPr>
              <w:t>证明材料是注册证或备案证或说明书或彩页等</w:t>
            </w:r>
            <w:r>
              <w:rPr>
                <w:rFonts w:hint="eastAsia" w:ascii="宋体" w:hAnsi="宋体" w:eastAsia="宋体" w:cs="宋体"/>
                <w:color w:val="auto"/>
                <w:sz w:val="24"/>
                <w:highlight w:val="none"/>
                <w:lang w:val="zh-CN" w:eastAsia="zh-CN"/>
              </w:rPr>
              <w:t>）</w:t>
            </w:r>
            <w:r>
              <w:rPr>
                <w:rFonts w:hint="default" w:ascii="宋体" w:hAnsi="宋体" w:eastAsia="宋体" w:cs="宋体"/>
                <w:color w:val="auto"/>
                <w:sz w:val="24"/>
                <w:highlight w:val="none"/>
                <w:lang w:val="zh-CN"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65"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tabs>
                <w:tab w:val="left" w:pos="0"/>
              </w:tabs>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2</w:t>
            </w:r>
          </w:p>
        </w:tc>
        <w:tc>
          <w:tcPr>
            <w:tcW w:w="1487"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ind w:right="92" w:rightChars="0"/>
              <w:jc w:val="center"/>
              <w:rPr>
                <w:rFonts w:hint="eastAsia" w:ascii="宋体" w:hAnsi="宋体" w:eastAsia="宋体" w:cs="宋体"/>
                <w:color w:val="auto"/>
                <w:kern w:val="0"/>
                <w:sz w:val="24"/>
                <w:szCs w:val="24"/>
                <w:highlight w:val="none"/>
                <w:lang w:val="en-US" w:eastAsia="zh-CN" w:bidi="zh-CN"/>
              </w:rPr>
            </w:pPr>
            <w:r>
              <w:rPr>
                <w:rFonts w:hint="eastAsia" w:ascii="宋体" w:hAnsi="宋体" w:cs="宋体"/>
                <w:color w:val="auto"/>
                <w:sz w:val="24"/>
                <w:highlight w:val="none"/>
                <w:lang w:val="zh-CN" w:eastAsia="zh-CN"/>
              </w:rPr>
              <w:t>产品</w:t>
            </w:r>
            <w:r>
              <w:rPr>
                <w:rFonts w:hint="eastAsia" w:ascii="宋体" w:hAnsi="宋体" w:cs="宋体"/>
                <w:color w:val="auto"/>
                <w:sz w:val="24"/>
                <w:highlight w:val="none"/>
                <w:lang w:val="en-US" w:eastAsia="zh-CN"/>
              </w:rPr>
              <w:t>性能</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分</w:t>
            </w:r>
            <w:r>
              <w:rPr>
                <w:rFonts w:hint="eastAsia" w:ascii="宋体" w:hAnsi="宋体" w:cs="宋体"/>
                <w:color w:val="auto"/>
                <w:sz w:val="24"/>
                <w:highlight w:val="none"/>
                <w:lang w:val="zh-CN"/>
              </w:rPr>
              <w:t>）</w:t>
            </w:r>
          </w:p>
        </w:tc>
        <w:tc>
          <w:tcPr>
            <w:tcW w:w="62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eastAsia" w:ascii="宋体" w:hAnsi="宋体" w:eastAsia="宋体" w:cs="Times New Roman"/>
                <w:color w:val="auto"/>
                <w:kern w:val="2"/>
                <w:sz w:val="24"/>
                <w:szCs w:val="24"/>
                <w:highlight w:val="none"/>
                <w:lang w:val="en-US" w:eastAsia="zh-CN" w:bidi="ar-SA"/>
              </w:rPr>
            </w:pPr>
            <w:r>
              <w:rPr>
                <w:rFonts w:hint="eastAsia" w:ascii="宋体" w:hAnsi="宋体"/>
                <w:color w:val="auto"/>
                <w:sz w:val="24"/>
                <w:highlight w:val="none"/>
                <w:lang w:val="en-US" w:eastAsia="zh-CN"/>
              </w:rPr>
              <w:t>投标人需在响应文件中提供各产品相关图片进行充分展示及说明或介绍。</w:t>
            </w:r>
            <w:r>
              <w:rPr>
                <w:rFonts w:hint="eastAsia" w:asciiTheme="minorEastAsia" w:hAnsiTheme="minorEastAsia" w:eastAsiaTheme="minorEastAsia" w:cstheme="minorEastAsia"/>
                <w:color w:val="auto"/>
                <w:sz w:val="24"/>
                <w:szCs w:val="24"/>
                <w:highlight w:val="none"/>
                <w:lang w:val="en-US" w:eastAsia="zh-CN"/>
              </w:rPr>
              <w:t>从低到高</w:t>
            </w:r>
            <w:r>
              <w:rPr>
                <w:rFonts w:hint="eastAsia" w:asciiTheme="minorEastAsia" w:hAnsiTheme="minorEastAsia" w:cstheme="minorEastAsia"/>
                <w:color w:val="auto"/>
                <w:sz w:val="24"/>
                <w:szCs w:val="24"/>
                <w:highlight w:val="none"/>
                <w:lang w:val="en-US" w:eastAsia="zh-CN"/>
              </w:rPr>
              <w:t>1-</w:t>
            </w:r>
            <w:r>
              <w:rPr>
                <w:rFonts w:hint="eastAsia" w:ascii="宋体" w:hAnsi="宋体" w:cs="宋体"/>
                <w:color w:val="auto"/>
                <w:sz w:val="24"/>
                <w:highlight w:val="none"/>
                <w:lang w:val="en-US" w:eastAsia="zh-CN"/>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4" w:type="dxa"/>
            <w:tcBorders>
              <w:top w:val="single" w:color="auto" w:sz="4" w:space="0"/>
              <w:left w:val="single" w:color="auto" w:sz="4" w:space="0"/>
              <w:bottom w:val="single" w:color="auto" w:sz="4" w:space="0"/>
              <w:right w:val="single" w:color="auto" w:sz="4" w:space="0"/>
            </w:tcBorders>
            <w:vAlign w:val="center"/>
          </w:tcPr>
          <w:p>
            <w:pPr>
              <w:tabs>
                <w:tab w:val="left" w:pos="0"/>
              </w:tabs>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1487"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ind w:right="92"/>
              <w:jc w:val="center"/>
              <w:rPr>
                <w:rFonts w:ascii="宋体" w:hAnsi="宋体" w:cs="宋体"/>
                <w:color w:val="auto"/>
                <w:kern w:val="0"/>
                <w:sz w:val="24"/>
                <w:highlight w:val="none"/>
                <w:lang w:val="zh-CN" w:bidi="zh-CN"/>
              </w:rPr>
            </w:pPr>
            <w:r>
              <w:rPr>
                <w:rFonts w:hint="eastAsia" w:ascii="宋体" w:hAnsi="宋体" w:cs="宋体"/>
                <w:color w:val="auto"/>
                <w:kern w:val="0"/>
                <w:sz w:val="24"/>
                <w:highlight w:val="none"/>
                <w:lang w:val="en-US" w:bidi="zh-CN"/>
              </w:rPr>
              <w:t>配送方案</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分</w:t>
            </w:r>
            <w:r>
              <w:rPr>
                <w:rFonts w:hint="eastAsia" w:ascii="宋体" w:hAnsi="宋体" w:cs="宋体"/>
                <w:color w:val="auto"/>
                <w:sz w:val="24"/>
                <w:highlight w:val="none"/>
                <w:lang w:val="zh-CN"/>
              </w:rPr>
              <w:t>）</w:t>
            </w:r>
          </w:p>
        </w:tc>
        <w:tc>
          <w:tcPr>
            <w:tcW w:w="62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olor w:val="auto"/>
                <w:sz w:val="24"/>
                <w:highlight w:val="none"/>
              </w:rPr>
            </w:pPr>
            <w:r>
              <w:rPr>
                <w:rFonts w:hint="eastAsia" w:ascii="宋体" w:hAnsi="宋体"/>
                <w:color w:val="auto"/>
                <w:sz w:val="24"/>
                <w:highlight w:val="none"/>
                <w:lang w:val="en-US" w:eastAsia="zh-CN"/>
              </w:rPr>
              <w:t>投标人自行编制配送方案，评标委员会依据方案内收到计划正常配送时间及方式、紧急采购配送时间及方式进行评分。</w:t>
            </w:r>
            <w:r>
              <w:rPr>
                <w:rFonts w:hint="eastAsia" w:asciiTheme="minorEastAsia" w:hAnsiTheme="minorEastAsia" w:eastAsiaTheme="minorEastAsia" w:cstheme="minorEastAsia"/>
                <w:color w:val="auto"/>
                <w:sz w:val="24"/>
                <w:szCs w:val="24"/>
                <w:highlight w:val="none"/>
                <w:lang w:val="en-US" w:eastAsia="zh-CN"/>
              </w:rPr>
              <w:t>从低到高</w:t>
            </w:r>
            <w:r>
              <w:rPr>
                <w:rFonts w:hint="eastAsia" w:ascii="宋体" w:hAnsi="宋体"/>
                <w:color w:val="auto"/>
                <w:sz w:val="24"/>
                <w:highlight w:val="none"/>
                <w:lang w:val="en-US" w:eastAsia="zh-CN"/>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4" w:type="dxa"/>
            <w:tcBorders>
              <w:top w:val="single" w:color="auto" w:sz="4" w:space="0"/>
              <w:left w:val="single" w:color="auto" w:sz="4" w:space="0"/>
              <w:bottom w:val="single" w:color="auto" w:sz="4" w:space="0"/>
              <w:right w:val="single" w:color="auto" w:sz="4" w:space="0"/>
            </w:tcBorders>
            <w:vAlign w:val="center"/>
          </w:tcPr>
          <w:p>
            <w:pPr>
              <w:tabs>
                <w:tab w:val="left" w:pos="0"/>
              </w:tabs>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4</w:t>
            </w:r>
          </w:p>
        </w:tc>
        <w:tc>
          <w:tcPr>
            <w:tcW w:w="1487"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ind w:right="92"/>
              <w:rPr>
                <w:rFonts w:ascii="宋体" w:hAnsi="宋体" w:cs="宋体"/>
                <w:color w:val="auto"/>
                <w:sz w:val="24"/>
                <w:highlight w:val="none"/>
              </w:rPr>
            </w:pPr>
            <w:r>
              <w:rPr>
                <w:rFonts w:hint="eastAsia" w:ascii="宋体" w:hAnsi="宋体" w:cs="宋体"/>
                <w:color w:val="auto"/>
                <w:kern w:val="0"/>
                <w:sz w:val="24"/>
                <w:highlight w:val="none"/>
                <w:lang w:bidi="zh-CN"/>
              </w:rPr>
              <w:t>培训方案</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分</w:t>
            </w:r>
            <w:r>
              <w:rPr>
                <w:rFonts w:hint="eastAsia" w:ascii="宋体" w:hAnsi="宋体" w:cs="宋体"/>
                <w:color w:val="auto"/>
                <w:sz w:val="24"/>
                <w:highlight w:val="none"/>
                <w:lang w:val="zh-CN"/>
              </w:rPr>
              <w:t>）</w:t>
            </w:r>
          </w:p>
        </w:tc>
        <w:tc>
          <w:tcPr>
            <w:tcW w:w="62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olor w:val="auto"/>
                <w:sz w:val="24"/>
                <w:highlight w:val="none"/>
              </w:rPr>
            </w:pPr>
            <w:r>
              <w:rPr>
                <w:rFonts w:ascii="宋体" w:hAnsi="宋体"/>
                <w:color w:val="auto"/>
                <w:sz w:val="24"/>
                <w:highlight w:val="none"/>
              </w:rPr>
              <w:t>根据</w:t>
            </w:r>
            <w:r>
              <w:rPr>
                <w:rFonts w:hint="eastAsia" w:ascii="宋体" w:hAnsi="宋体"/>
                <w:color w:val="auto"/>
                <w:sz w:val="24"/>
                <w:highlight w:val="none"/>
                <w:lang w:val="en-US" w:eastAsia="zh-CN"/>
              </w:rPr>
              <w:t>投标人</w:t>
            </w:r>
            <w:r>
              <w:rPr>
                <w:rFonts w:ascii="宋体" w:hAnsi="宋体"/>
                <w:color w:val="auto"/>
                <w:sz w:val="24"/>
                <w:highlight w:val="none"/>
              </w:rPr>
              <w:t>提供的培训方案进行评审。</w:t>
            </w:r>
            <w:r>
              <w:rPr>
                <w:rFonts w:hint="eastAsia" w:asciiTheme="minorEastAsia" w:hAnsiTheme="minorEastAsia" w:eastAsiaTheme="minorEastAsia" w:cstheme="minorEastAsia"/>
                <w:color w:val="auto"/>
                <w:sz w:val="24"/>
                <w:szCs w:val="24"/>
                <w:highlight w:val="none"/>
                <w:lang w:val="en-US" w:eastAsia="zh-CN"/>
              </w:rPr>
              <w:t>从低到高</w:t>
            </w:r>
            <w:r>
              <w:rPr>
                <w:rFonts w:hint="eastAsia" w:ascii="宋体" w:hAnsi="宋体"/>
                <w:color w:val="auto"/>
                <w:sz w:val="24"/>
                <w:highlight w:val="none"/>
                <w:lang w:val="en-US" w:eastAsia="zh-CN"/>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4" w:type="dxa"/>
            <w:tcBorders>
              <w:top w:val="single" w:color="auto" w:sz="4" w:space="0"/>
              <w:left w:val="single" w:color="auto" w:sz="4" w:space="0"/>
              <w:bottom w:val="single" w:color="auto" w:sz="4" w:space="0"/>
              <w:right w:val="single" w:color="auto" w:sz="4" w:space="0"/>
            </w:tcBorders>
            <w:vAlign w:val="center"/>
          </w:tcPr>
          <w:p>
            <w:pPr>
              <w:tabs>
                <w:tab w:val="left" w:pos="0"/>
              </w:tabs>
              <w:snapToGrid w:val="0"/>
              <w:spacing w:line="360" w:lineRule="auto"/>
              <w:jc w:val="center"/>
              <w:rPr>
                <w:rFonts w:hint="eastAsia" w:ascii="宋体" w:hAnsi="宋体" w:eastAsia="宋体" w:cs="宋体"/>
                <w:color w:val="auto"/>
                <w:sz w:val="24"/>
                <w:szCs w:val="24"/>
                <w:highlight w:val="none"/>
                <w:lang w:val="en-US" w:eastAsia="zh-CN" w:bidi="ar-SA"/>
              </w:rPr>
            </w:pPr>
            <w:r>
              <w:rPr>
                <w:rFonts w:hint="eastAsia" w:ascii="宋体" w:hAnsi="宋体" w:cs="宋体"/>
                <w:color w:val="auto"/>
                <w:sz w:val="24"/>
                <w:highlight w:val="none"/>
                <w:lang w:val="en-US" w:eastAsia="zh-CN"/>
              </w:rPr>
              <w:t>6</w:t>
            </w:r>
          </w:p>
        </w:tc>
        <w:tc>
          <w:tcPr>
            <w:tcW w:w="148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lang w:val="zh-CN"/>
              </w:rPr>
            </w:pPr>
            <w:r>
              <w:rPr>
                <w:rFonts w:hint="eastAsia" w:ascii="宋体" w:hAnsi="宋体" w:cs="宋体"/>
                <w:color w:val="auto"/>
                <w:sz w:val="24"/>
                <w:highlight w:val="none"/>
              </w:rPr>
              <w:t>业绩</w:t>
            </w:r>
            <w:r>
              <w:rPr>
                <w:rFonts w:hint="eastAsia" w:ascii="宋体" w:hAnsi="宋体" w:cs="宋体"/>
                <w:color w:val="auto"/>
                <w:sz w:val="24"/>
                <w:highlight w:val="none"/>
                <w:lang w:val="zh-CN"/>
              </w:rPr>
              <w:t>（</w:t>
            </w:r>
            <w:r>
              <w:rPr>
                <w:rFonts w:hint="eastAsia" w:ascii="宋体" w:hAnsi="宋体" w:eastAsia="宋体" w:cs="宋体"/>
                <w:color w:val="auto"/>
                <w:sz w:val="24"/>
                <w:highlight w:val="none"/>
                <w:lang w:val="en-US" w:eastAsia="zh-CN"/>
              </w:rPr>
              <w:t>10</w:t>
            </w:r>
            <w:r>
              <w:rPr>
                <w:rFonts w:hint="eastAsia" w:ascii="宋体" w:hAnsi="宋体" w:cs="宋体"/>
                <w:color w:val="auto"/>
                <w:sz w:val="24"/>
                <w:highlight w:val="none"/>
              </w:rPr>
              <w:t>分</w:t>
            </w:r>
            <w:r>
              <w:rPr>
                <w:rFonts w:hint="eastAsia" w:ascii="宋体" w:hAnsi="宋体" w:cs="宋体"/>
                <w:color w:val="auto"/>
                <w:sz w:val="24"/>
                <w:highlight w:val="none"/>
                <w:lang w:val="zh-CN"/>
              </w:rPr>
              <w:t>）</w:t>
            </w:r>
          </w:p>
        </w:tc>
        <w:tc>
          <w:tcPr>
            <w:tcW w:w="62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olor w:val="auto"/>
                <w:sz w:val="24"/>
                <w:highlight w:val="none"/>
              </w:rPr>
            </w:pPr>
            <w:r>
              <w:rPr>
                <w:rFonts w:hint="eastAsia" w:ascii="宋体" w:hAnsi="宋体"/>
                <w:color w:val="auto"/>
                <w:sz w:val="24"/>
                <w:highlight w:val="none"/>
              </w:rPr>
              <w:t>提供至</w:t>
            </w:r>
            <w:r>
              <w:rPr>
                <w:rFonts w:hint="eastAsia" w:ascii="宋体" w:hAnsi="宋体"/>
                <w:color w:val="auto"/>
                <w:sz w:val="24"/>
                <w:highlight w:val="none"/>
                <w:lang w:val="en-US" w:eastAsia="zh-CN"/>
              </w:rPr>
              <w:t>投标</w:t>
            </w:r>
            <w:r>
              <w:rPr>
                <w:rFonts w:hint="eastAsia" w:ascii="宋体" w:hAnsi="宋体"/>
                <w:color w:val="auto"/>
                <w:sz w:val="24"/>
                <w:highlight w:val="none"/>
              </w:rPr>
              <w:t>截止之日起三年内</w:t>
            </w:r>
            <w:r>
              <w:rPr>
                <w:rFonts w:hint="eastAsia" w:ascii="宋体" w:hAnsi="宋体" w:eastAsia="宋体" w:cs="Times New Roman"/>
                <w:color w:val="auto"/>
                <w:sz w:val="24"/>
                <w:szCs w:val="24"/>
                <w:highlight w:val="none"/>
                <w:lang w:val="en-US" w:eastAsia="zh-CN" w:bidi="ar-SA"/>
              </w:rPr>
              <w:t>面霜的供货到医院发票</w:t>
            </w:r>
            <w:r>
              <w:rPr>
                <w:rFonts w:hint="eastAsia" w:ascii="宋体" w:hAnsi="宋体"/>
                <w:color w:val="auto"/>
                <w:sz w:val="24"/>
                <w:highlight w:val="none"/>
              </w:rPr>
              <w:t>（包含但不限于供应商的业绩，须与本次所投产品同品牌），每提供1份业绩得</w:t>
            </w:r>
            <w:r>
              <w:rPr>
                <w:rFonts w:hint="eastAsia" w:ascii="宋体" w:hAnsi="宋体" w:eastAsia="宋体"/>
                <w:color w:val="auto"/>
                <w:sz w:val="24"/>
                <w:highlight w:val="none"/>
                <w:lang w:val="en-US" w:eastAsia="zh-CN"/>
              </w:rPr>
              <w:t>5</w:t>
            </w:r>
            <w:r>
              <w:rPr>
                <w:rFonts w:hint="eastAsia" w:ascii="宋体" w:hAnsi="宋体"/>
                <w:color w:val="auto"/>
                <w:sz w:val="24"/>
                <w:highlight w:val="none"/>
              </w:rPr>
              <w:t>分，满分</w:t>
            </w:r>
            <w:r>
              <w:rPr>
                <w:rFonts w:hint="eastAsia" w:ascii="宋体" w:hAnsi="宋体" w:eastAsia="宋体"/>
                <w:color w:val="auto"/>
                <w:sz w:val="24"/>
                <w:highlight w:val="none"/>
                <w:lang w:val="en-US" w:eastAsia="zh-CN"/>
              </w:rPr>
              <w:t>10</w:t>
            </w:r>
            <w:r>
              <w:rPr>
                <w:rFonts w:hint="eastAsia" w:ascii="宋体" w:hAnsi="宋体"/>
                <w:color w:val="auto"/>
                <w:sz w:val="24"/>
                <w:highlight w:val="none"/>
              </w:rPr>
              <w:t>分。</w:t>
            </w:r>
          </w:p>
          <w:p>
            <w:pPr>
              <w:snapToGrid w:val="0"/>
              <w:spacing w:line="360" w:lineRule="auto"/>
              <w:rPr>
                <w:rFonts w:ascii="宋体" w:hAnsi="宋体" w:cs="宋体"/>
                <w:color w:val="auto"/>
                <w:sz w:val="24"/>
                <w:highlight w:val="none"/>
                <w:lang w:val="zh-CN"/>
              </w:rPr>
            </w:pPr>
            <w:r>
              <w:rPr>
                <w:rFonts w:hint="eastAsia" w:ascii="宋体" w:hAnsi="宋体"/>
                <w:color w:val="auto"/>
                <w:sz w:val="24"/>
                <w:highlight w:val="none"/>
              </w:rPr>
              <w:t>注：须提供</w:t>
            </w:r>
            <w:r>
              <w:rPr>
                <w:rFonts w:hint="eastAsia" w:ascii="宋体" w:hAnsi="宋体"/>
                <w:color w:val="auto"/>
                <w:sz w:val="24"/>
                <w:highlight w:val="none"/>
                <w:lang w:val="en-US" w:eastAsia="zh-CN"/>
              </w:rPr>
              <w:t>发票</w:t>
            </w:r>
            <w:r>
              <w:rPr>
                <w:rFonts w:hint="eastAsia" w:ascii="宋体" w:hAnsi="宋体" w:eastAsia="宋体"/>
                <w:color w:val="auto"/>
                <w:sz w:val="24"/>
                <w:highlight w:val="none"/>
                <w:lang w:val="en-US" w:eastAsia="zh-CN"/>
              </w:rPr>
              <w:t>复印件</w:t>
            </w:r>
            <w:r>
              <w:rPr>
                <w:rFonts w:hint="eastAsia" w:ascii="宋体" w:hAnsi="宋体"/>
                <w:color w:val="auto"/>
                <w:sz w:val="24"/>
                <w:highlight w:val="none"/>
                <w:lang w:val="en-US" w:eastAsia="zh-CN"/>
              </w:rPr>
              <w:t>放入响应文件</w:t>
            </w:r>
            <w:r>
              <w:rPr>
                <w:rFonts w:hint="eastAsia" w:ascii="宋体" w:hAnsi="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4" w:type="dxa"/>
            <w:tcBorders>
              <w:top w:val="single" w:color="auto" w:sz="4" w:space="0"/>
              <w:left w:val="single" w:color="auto" w:sz="4" w:space="0"/>
              <w:bottom w:val="single" w:color="auto" w:sz="4" w:space="0"/>
              <w:right w:val="single" w:color="auto" w:sz="4" w:space="0"/>
            </w:tcBorders>
            <w:vAlign w:val="center"/>
          </w:tcPr>
          <w:p>
            <w:pPr>
              <w:tabs>
                <w:tab w:val="left" w:pos="0"/>
              </w:tabs>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148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zh-CN"/>
              </w:rPr>
              <w:t>报价（</w:t>
            </w:r>
            <w:r>
              <w:rPr>
                <w:rFonts w:hint="eastAsia" w:ascii="宋体" w:hAnsi="宋体" w:cs="宋体"/>
                <w:color w:val="auto"/>
                <w:sz w:val="24"/>
                <w:highlight w:val="none"/>
                <w:lang w:val="zh-CN" w:eastAsia="zh-CN"/>
              </w:rPr>
              <w:t>百分比</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20</w:t>
            </w:r>
            <w:r>
              <w:rPr>
                <w:rFonts w:hint="eastAsia" w:ascii="宋体" w:hAnsi="宋体" w:cs="宋体"/>
                <w:color w:val="auto"/>
                <w:sz w:val="24"/>
                <w:highlight w:val="none"/>
                <w:lang w:val="zh-CN"/>
              </w:rPr>
              <w:t>分）</w:t>
            </w:r>
          </w:p>
        </w:tc>
        <w:tc>
          <w:tcPr>
            <w:tcW w:w="62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snapToGrid w:val="0"/>
              <w:spacing w:after="0" w:line="360" w:lineRule="auto"/>
              <w:ind w:firstLine="480" w:firstLineChars="200"/>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采用低价优先法计算，即满足采购文件要求且投标价格最低的投标报价为评标基准价，其价格分为满分。其他投标人的价格分统一按照下列公式计算：</w:t>
            </w:r>
          </w:p>
          <w:p>
            <w:pPr>
              <w:keepNext w:val="0"/>
              <w:keepLines w:val="0"/>
              <w:pageBreakBefore w:val="0"/>
              <w:widowControl/>
              <w:kinsoku/>
              <w:overflowPunct/>
              <w:topLinePunct w:val="0"/>
              <w:bidi w:val="0"/>
              <w:adjustRightInd w:val="0"/>
              <w:snapToGrid w:val="0"/>
              <w:spacing w:line="360" w:lineRule="auto"/>
              <w:ind w:firstLine="480" w:firstLineChars="200"/>
              <w:jc w:val="left"/>
              <w:textAlignment w:val="auto"/>
              <w:rPr>
                <w:rFonts w:ascii="宋体" w:hAnsi="宋体" w:cs="宋体"/>
                <w:color w:val="auto"/>
                <w:sz w:val="24"/>
                <w:highlight w:val="none"/>
              </w:rPr>
            </w:pPr>
            <w:r>
              <w:rPr>
                <w:rFonts w:hint="eastAsia" w:ascii="宋体" w:hAnsi="宋体" w:eastAsia="宋体" w:cs="宋体"/>
                <w:color w:val="auto"/>
                <w:sz w:val="24"/>
                <w:szCs w:val="24"/>
                <w:highlight w:val="none"/>
                <w:lang w:val="en-US" w:eastAsia="en-US" w:bidi="ar-SA"/>
              </w:rPr>
              <w:t>投标报价得分=(评标基准价／投标报价)×</w:t>
            </w:r>
            <w:r>
              <w:rPr>
                <w:rFonts w:hint="eastAsia" w:ascii="宋体" w:hAnsi="宋体" w:eastAsia="宋体" w:cs="宋体"/>
                <w:color w:val="auto"/>
                <w:sz w:val="24"/>
                <w:szCs w:val="24"/>
                <w:highlight w:val="none"/>
                <w:lang w:val="en-US" w:eastAsia="zh-CN" w:bidi="ar-SA"/>
              </w:rPr>
              <w:t>20（四舍五入，精确到小数点后两位）。</w:t>
            </w:r>
          </w:p>
        </w:tc>
      </w:tr>
      <w:bookmarkEnd w:id="0"/>
    </w:tbl>
    <w:p>
      <w:pPr>
        <w:rPr>
          <w:rFonts w:hint="eastAsia"/>
          <w:b/>
          <w:bCs/>
          <w:sz w:val="24"/>
          <w:szCs w:val="24"/>
          <w:lang w:val="en-US" w:eastAsia="zh-CN"/>
        </w:rPr>
      </w:pPr>
    </w:p>
    <w:p>
      <w:pPr>
        <w:rPr>
          <w:rFonts w:hint="eastAsia"/>
          <w:b w:val="0"/>
          <w:bCs w:val="0"/>
          <w:sz w:val="24"/>
          <w:szCs w:val="24"/>
          <w:lang w:val="en-US" w:eastAsia="zh-CN"/>
        </w:rPr>
      </w:pPr>
      <w:r>
        <w:rPr>
          <w:rFonts w:hint="eastAsia"/>
          <w:b/>
          <w:bCs/>
          <w:sz w:val="24"/>
          <w:szCs w:val="24"/>
          <w:lang w:val="en-US" w:eastAsia="zh-CN"/>
        </w:rPr>
        <w:t>报价说明：</w:t>
      </w:r>
      <w:r>
        <w:rPr>
          <w:rFonts w:hint="eastAsia"/>
          <w:b w:val="0"/>
          <w:bCs w:val="0"/>
          <w:sz w:val="24"/>
          <w:szCs w:val="24"/>
          <w:lang w:val="en-US" w:eastAsia="zh-CN"/>
        </w:rPr>
        <w:t>按控制价的百分比报价，如控制价100元，报价80%，则供价为80元，供价最多取小数点后2位，从第3位开始舍弃。</w:t>
      </w:r>
    </w:p>
    <w:p>
      <w:pPr>
        <w:pStyle w:val="2"/>
        <w:ind w:left="0" w:leftChars="0" w:firstLine="0" w:firstLineChars="0"/>
        <w:rPr>
          <w:rFonts w:hint="eastAsia"/>
          <w:b w:val="0"/>
          <w:bCs w:val="0"/>
          <w:sz w:val="24"/>
          <w:szCs w:val="24"/>
          <w:lang w:val="en-US" w:eastAsia="zh-CN"/>
        </w:rPr>
      </w:pPr>
    </w:p>
    <w:p>
      <w:pPr>
        <w:rPr>
          <w:rFonts w:hint="default"/>
          <w:b/>
          <w:bCs/>
          <w:lang w:val="en-US" w:eastAsia="zh-CN"/>
        </w:rPr>
      </w:pPr>
      <w:r>
        <w:rPr>
          <w:rFonts w:hint="eastAsia"/>
          <w:b/>
          <w:bCs/>
          <w:sz w:val="24"/>
          <w:szCs w:val="24"/>
          <w:lang w:val="en-US" w:eastAsia="zh-CN"/>
        </w:rPr>
        <w:t>本次采购如只有符合要求的2个投标人，则不采用打分，而推荐价格最低者为</w:t>
      </w:r>
      <w:r>
        <w:rPr>
          <w:rFonts w:hint="eastAsia" w:ascii="宋体" w:hAnsi="宋体" w:eastAsia="宋体" w:cs="宋体"/>
          <w:b/>
          <w:bCs/>
          <w:i w:val="0"/>
          <w:iCs w:val="0"/>
          <w:caps w:val="0"/>
          <w:color w:val="333333"/>
          <w:spacing w:val="0"/>
          <w:sz w:val="24"/>
          <w:szCs w:val="24"/>
          <w:shd w:val="clear" w:fill="FFFFFF"/>
          <w:lang w:val="en-US" w:eastAsia="zh-CN"/>
        </w:rPr>
        <w:t>成交供应商。</w:t>
      </w:r>
    </w:p>
    <w:p>
      <w:pPr>
        <w:pStyle w:val="11"/>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150" w:afterAutospacing="0" w:line="30" w:lineRule="atLeast"/>
        <w:ind w:left="0" w:right="0"/>
        <w:rPr>
          <w:rFonts w:hint="eastAsia" w:asciiTheme="minorEastAsia" w:hAnsiTheme="minorEastAsia" w:eastAsiaTheme="minorEastAsia" w:cstheme="minorEastAsia"/>
        </w:rPr>
      </w:pPr>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6FF" w:usb1="420024FF" w:usb2="02000000" w:usb3="00000000" w:csb0="2000019F" w:csb1="00000000"/>
  </w:font>
  <w:font w:name="Calibri">
    <w:panose1 w:val="020F0502020204030204"/>
    <w:charset w:val="00"/>
    <w:family w:val="decorative"/>
    <w:pitch w:val="default"/>
    <w:sig w:usb0="E4002EFF" w:usb1="C000247B" w:usb2="00000009" w:usb3="00000000" w:csb0="200001FF" w:csb1="00000000"/>
  </w:font>
  <w:font w:name="Arial">
    <w:panose1 w:val="020B0604020202020204"/>
    <w:charset w:val="01"/>
    <w:family w:val="decorative"/>
    <w:pitch w:val="default"/>
    <w:sig w:usb0="E0002EFF" w:usb1="C000785B" w:usb2="00000009" w:usb3="00000000" w:csb0="400001FF" w:csb1="FFFF0000"/>
  </w:font>
  <w:font w:name="Courier New">
    <w:panose1 w:val="02070309020205020404"/>
    <w:charset w:val="01"/>
    <w:family w:val="swiss"/>
    <w:pitch w:val="default"/>
    <w:sig w:usb0="E0002E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6FF" w:usb1="420024FF" w:usb2="02000000" w:usb3="00000000" w:csb0="2000019F" w:csb1="00000000"/>
  </w:font>
  <w:font w:name="Calibri">
    <w:panose1 w:val="020F0502020204030204"/>
    <w:charset w:val="00"/>
    <w:family w:val="roman"/>
    <w:pitch w:val="default"/>
    <w:sig w:usb0="E4002EFF" w:usb1="C000247B" w:usb2="00000009" w:usb3="00000000" w:csb0="200001FF" w:csb1="00000000"/>
  </w:font>
  <w:font w:name="Arial">
    <w:panose1 w:val="020B0604020202020204"/>
    <w:charset w:val="01"/>
    <w:family w:val="roman"/>
    <w:pitch w:val="default"/>
    <w:sig w:usb0="E0002EFF" w:usb1="C000785B" w:usb2="00000009" w:usb3="00000000" w:csb0="400001FF" w:csb1="FFFF0000"/>
  </w:font>
  <w:font w:name="Courier New">
    <w:panose1 w:val="02070309020205020404"/>
    <w:charset w:val="01"/>
    <w:family w:val="decorative"/>
    <w:pitch w:val="default"/>
    <w:sig w:usb0="E0002E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6FF" w:usb1="420024FF" w:usb2="02000000" w:usb3="00000000" w:csb0="2000019F" w:csb1="00000000"/>
  </w:font>
  <w:font w:name="Calibri">
    <w:panose1 w:val="020F0502020204030204"/>
    <w:charset w:val="00"/>
    <w:family w:val="modern"/>
    <w:pitch w:val="default"/>
    <w:sig w:usb0="E4002EFF" w:usb1="C000247B" w:usb2="00000009" w:usb3="00000000" w:csb0="200001FF" w:csb1="00000000"/>
  </w:font>
  <w:font w:name="Arial">
    <w:panose1 w:val="020B0604020202020204"/>
    <w:charset w:val="01"/>
    <w:family w:val="modern"/>
    <w:pitch w:val="default"/>
    <w:sig w:usb0="E0002EFF" w:usb1="C000785B" w:usb2="00000009" w:usb3="00000000" w:csb0="400001FF" w:csb1="FFFF0000"/>
  </w:font>
  <w:font w:name="Courier New">
    <w:panose1 w:val="02070309020205020404"/>
    <w:charset w:val="01"/>
    <w:family w:val="roman"/>
    <w:pitch w:val="default"/>
    <w:sig w:usb0="E0002E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华文宋体">
    <w:altName w:val="宋体"/>
    <w:panose1 w:val="02010600040101010101"/>
    <w:charset w:val="86"/>
    <w:family w:val="auto"/>
    <w:pitch w:val="default"/>
    <w:sig w:usb0="00000000" w:usb1="00000000" w:usb2="00000000" w:usb3="00000000" w:csb0="0004009F" w:csb1="DFD70000"/>
  </w:font>
  <w:font w:name="华文仿宋">
    <w:altName w:val="仿宋"/>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方正小标宋简体">
    <w:altName w:val="微软雅黑"/>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decorative"/>
    <w:pitch w:val="default"/>
    <w:sig w:usb0="800002BF" w:usb1="38CF7CFA" w:usb2="00000016" w:usb3="00000000" w:csb0="00040001" w:csb1="00000000"/>
  </w:font>
  <w:font w:name="Arial">
    <w:panose1 w:val="020B0604020202020204"/>
    <w:charset w:val="00"/>
    <w:family w:val="roman"/>
    <w:pitch w:val="default"/>
    <w:sig w:usb0="E0002EFF" w:usb1="C000785B" w:usb2="00000009" w:usb3="00000000" w:csb0="400001FF" w:csb1="FFFF0000"/>
  </w:font>
  <w:font w:name="Courier New">
    <w:panose1 w:val="02070309020205020404"/>
    <w:charset w:val="00"/>
    <w:family w:val="decorative"/>
    <w:pitch w:val="default"/>
    <w:sig w:usb0="E0002EFF" w:usb1="C0007843" w:usb2="00000009" w:usb3="00000000" w:csb0="400001FF" w:csb1="FFFF0000"/>
  </w:font>
  <w:font w:name="仿宋_GB2312">
    <w:altName w:val="仿宋"/>
    <w:panose1 w:val="02010609030101010101"/>
    <w:charset w:val="86"/>
    <w:family w:val="decorative"/>
    <w:pitch w:val="default"/>
    <w:sig w:usb0="00000000" w:usb1="00000000" w:usb2="00000000" w:usb3="00000000" w:csb0="00040000" w:csb1="00000000"/>
  </w:font>
  <w:font w:name="楷体_GB2312">
    <w:altName w:val="楷体"/>
    <w:panose1 w:val="00000000000000000000"/>
    <w:charset w:val="86"/>
    <w:family w:val="decorative"/>
    <w:pitch w:val="default"/>
    <w:sig w:usb0="00000000" w:usb1="00000000" w:usb2="00000000" w:usb3="00000000" w:csb0="00040000" w:csb1="00000000"/>
  </w:font>
  <w:font w:name="monospace">
    <w:altName w:val="微软雅黑"/>
    <w:panose1 w:val="00000000000000000000"/>
    <w:charset w:val="00"/>
    <w:family w:val="auto"/>
    <w:pitch w:val="default"/>
    <w:sig w:usb0="00000000" w:usb1="00000000" w:usb2="00000000" w:usb3="00000000" w:csb0="00040001" w:csb1="00000000"/>
  </w:font>
  <w:font w:name="Wingdings 2">
    <w:altName w:val="Wingdings"/>
    <w:panose1 w:val="05020102010507070707"/>
    <w:charset w:val="02"/>
    <w:family w:val="swiss"/>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Wingdings">
    <w:panose1 w:val="05000000000000000000"/>
    <w:charset w:val="02"/>
    <w:family w:val="swiss"/>
    <w:pitch w:val="default"/>
    <w:sig w:usb0="00000000" w:usb1="00000000" w:usb2="00000000" w:usb3="00000000" w:csb0="80000000" w:csb1="00000000"/>
  </w:font>
  <w:font w:name="仿宋">
    <w:panose1 w:val="02010609060101010101"/>
    <w:charset w:val="86"/>
    <w:family w:val="roman"/>
    <w:pitch w:val="default"/>
    <w:sig w:usb0="800002BF" w:usb1="38CF7CFA" w:usb2="00000016" w:usb3="00000000" w:csb0="00040001" w:csb1="00000000"/>
  </w:font>
  <w:font w:name="Arial">
    <w:panose1 w:val="020B0604020202020204"/>
    <w:charset w:val="00"/>
    <w:family w:val="modern"/>
    <w:pitch w:val="default"/>
    <w:sig w:usb0="E0002EFF" w:usb1="C000785B" w:usb2="00000009" w:usb3="00000000" w:csb0="400001FF" w:csb1="FFFF0000"/>
  </w:font>
  <w:font w:name="Courier New">
    <w:panose1 w:val="02070309020205020404"/>
    <w:charset w:val="00"/>
    <w:family w:val="roman"/>
    <w:pitch w:val="default"/>
    <w:sig w:usb0="E0002EFF" w:usb1="C0007843" w:usb2="00000009" w:usb3="00000000" w:csb0="400001FF" w:csb1="FFFF0000"/>
  </w:font>
  <w:font w:name="仿宋_GB2312">
    <w:altName w:val="仿宋"/>
    <w:panose1 w:val="02010609030101010101"/>
    <w:charset w:val="86"/>
    <w:family w:val="roman"/>
    <w:pitch w:val="default"/>
    <w:sig w:usb0="00000000" w:usb1="00000000" w:usb2="00000000" w:usb3="00000000" w:csb0="00040000" w:csb1="00000000"/>
  </w:font>
  <w:font w:name="楷体_GB2312">
    <w:altName w:val="楷体"/>
    <w:panose1 w:val="00000000000000000000"/>
    <w:charset w:val="86"/>
    <w:family w:val="roman"/>
    <w:pitch w:val="default"/>
    <w:sig w:usb0="00000000" w:usb1="00000000" w:usb2="00000000" w:usb3="00000000" w:csb0="00040000" w:csb1="00000000"/>
  </w:font>
  <w:font w:name="Wingdings 2">
    <w:altName w:val="Wingdings"/>
    <w:panose1 w:val="05020102010507070707"/>
    <w:charset w:val="02"/>
    <w:family w:val="decorative"/>
    <w:pitch w:val="default"/>
    <w:sig w:usb0="00000000" w:usb1="00000000" w:usb2="00000000" w:usb3="00000000" w:csb0="80000000" w:csb1="00000000"/>
  </w:font>
  <w:font w:name="Wingdings">
    <w:panose1 w:val="05000000000000000000"/>
    <w:charset w:val="02"/>
    <w:family w:val="decorative"/>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Wingdings">
    <w:panose1 w:val="05000000000000000000"/>
    <w:charset w:val="02"/>
    <w:family w:val="roman"/>
    <w:pitch w:val="default"/>
    <w:sig w:usb0="00000000" w:usb1="00000000" w:usb2="00000000" w:usb3="00000000" w:csb0="80000000" w:csb1="00000000"/>
  </w:font>
  <w:font w:name="仿宋">
    <w:panose1 w:val="02010609060101010101"/>
    <w:charset w:val="86"/>
    <w:family w:val="swiss"/>
    <w:pitch w:val="default"/>
    <w:sig w:usb0="800002BF" w:usb1="38CF7CFA" w:usb2="00000016" w:usb3="00000000" w:csb0="00040001" w:csb1="00000000"/>
  </w:font>
  <w:font w:name="Arial">
    <w:panose1 w:val="020B0604020202020204"/>
    <w:charset w:val="00"/>
    <w:family w:val="decorative"/>
    <w:pitch w:val="default"/>
    <w:sig w:usb0="E0002EFF" w:usb1="C000785B" w:usb2="00000009" w:usb3="00000000" w:csb0="400001FF" w:csb1="FFFF0000"/>
  </w:font>
  <w:font w:name="Courier New">
    <w:panose1 w:val="02070309020205020404"/>
    <w:charset w:val="00"/>
    <w:family w:val="swiss"/>
    <w:pitch w:val="default"/>
    <w:sig w:usb0="E0002EFF" w:usb1="C0007843" w:usb2="00000009" w:usb3="00000000" w:csb0="400001FF" w:csb1="FFFF0000"/>
  </w:font>
  <w:font w:name="仿宋_GB2312">
    <w:altName w:val="仿宋"/>
    <w:panose1 w:val="02010609030101010101"/>
    <w:charset w:val="86"/>
    <w:family w:val="swiss"/>
    <w:pitch w:val="default"/>
    <w:sig w:usb0="00000000" w:usb1="00000000" w:usb2="00000000" w:usb3="00000000" w:csb0="00040000" w:csb1="00000000"/>
  </w:font>
  <w:font w:name="楷体_GB2312">
    <w:altName w:val="楷体"/>
    <w:panose1 w:val="00000000000000000000"/>
    <w:charset w:val="86"/>
    <w:family w:val="swiss"/>
    <w:pitch w:val="default"/>
    <w:sig w:usb0="00000000" w:usb1="00000000" w:usb2="00000000" w:usb3="00000000" w:csb0="00040000" w:csb1="00000000"/>
  </w:font>
  <w:font w:name="Wingdings 2">
    <w:altName w:val="Wingdings"/>
    <w:panose1 w:val="05020102010507070707"/>
    <w:charset w:val="02"/>
    <w:family w:val="modern"/>
    <w:pitch w:val="default"/>
    <w:sig w:usb0="00000000" w:usb1="00000000" w:usb2="00000000" w:usb3="00000000" w:csb0="80000000" w:csb1="00000000"/>
  </w:font>
  <w:font w:name="Wingdings">
    <w:panose1 w:val="05000000000000000000"/>
    <w:charset w:val="02"/>
    <w:family w:val="modern"/>
    <w:pitch w:val="default"/>
    <w:sig w:usb0="00000000" w:usb1="00000000" w:usb2="00000000" w:usb3="00000000" w:csb0="80000000" w:csb1="00000000"/>
  </w:font>
  <w:font w:name="Tahoma">
    <w:panose1 w:val="020B0604030504040204"/>
    <w:charset w:val="00"/>
    <w:family w:val="modern"/>
    <w:pitch w:val="default"/>
    <w:sig w:usb0="E1002EFF" w:usb1="C000605B" w:usb2="00000029" w:usb3="00000000" w:csb0="200101FF" w:csb1="20280000"/>
  </w:font>
  <w:font w:name="隶书">
    <w:altName w:val="微软雅黑"/>
    <w:panose1 w:val="02010509060101010101"/>
    <w:charset w:val="86"/>
    <w:family w:val="roman"/>
    <w:pitch w:val="default"/>
    <w:sig w:usb0="00000000" w:usb1="00000000" w:usb2="00000000" w:usb3="00000000" w:csb0="00040000" w:csb1="00000000"/>
  </w:font>
  <w:font w:name="ˎ̥">
    <w:altName w:val="Times New Roman"/>
    <w:panose1 w:val="00000000000000000000"/>
    <w:charset w:val="00"/>
    <w:family w:val="decorative"/>
    <w:pitch w:val="default"/>
    <w:sig w:usb0="00000000" w:usb1="00000000" w:usb2="00000000" w:usb3="00000000" w:csb0="00040001" w:csb1="00000000"/>
  </w:font>
  <w:font w:name="Verdana">
    <w:panose1 w:val="020B0604030504040204"/>
    <w:charset w:val="00"/>
    <w:family w:val="modern"/>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隶书">
    <w:altName w:val="微软雅黑"/>
    <w:panose1 w:val="02010509060101010101"/>
    <w:charset w:val="86"/>
    <w:family w:val="modern"/>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decorative"/>
    <w:pitch w:val="default"/>
    <w:sig w:usb0="E1002EFF" w:usb1="C000605B" w:usb2="00000029" w:usb3="00000000" w:csb0="200101FF" w:csb1="20280000"/>
  </w:font>
  <w:font w:name="隶书">
    <w:altName w:val="微软雅黑"/>
    <w:panose1 w:val="02010509060101010101"/>
    <w:charset w:val="86"/>
    <w:family w:val="swiss"/>
    <w:pitch w:val="default"/>
    <w:sig w:usb0="00000000" w:usb1="00000000" w:usb2="00000000" w:usb3="00000000" w:csb0="00040000" w:csb1="00000000"/>
  </w:font>
  <w:font w:name="ˎ̥">
    <w:altName w:val="Times New Roman"/>
    <w:panose1 w:val="00000000000000000000"/>
    <w:charset w:val="00"/>
    <w:family w:val="modern"/>
    <w:pitch w:val="default"/>
    <w:sig w:usb0="00000000" w:usb1="00000000" w:usb2="00000000" w:usb3="00000000" w:csb0="00040001" w:csb1="00000000"/>
  </w:font>
  <w:font w:name="Verdana">
    <w:panose1 w:val="020B0604030504040204"/>
    <w:charset w:val="00"/>
    <w:family w:val="decorative"/>
    <w:pitch w:val="default"/>
    <w:sig w:usb0="A00006FF" w:usb1="4000205B" w:usb2="00000010" w:usb3="00000000" w:csb0="2000019F" w:csb1="00000000"/>
  </w:font>
  <w:font w:name="Tahoma">
    <w:panose1 w:val="020B0604030504040204"/>
    <w:charset w:val="00"/>
    <w:family w:val="roman"/>
    <w:pitch w:val="default"/>
    <w:sig w:usb0="E1002EFF" w:usb1="C000605B" w:usb2="00000029" w:usb3="00000000" w:csb0="200101FF" w:csb1="20280000"/>
  </w:font>
  <w:font w:name="隶书">
    <w:altName w:val="微软雅黑"/>
    <w:panose1 w:val="02010509060101010101"/>
    <w:charset w:val="86"/>
    <w:family w:val="decorative"/>
    <w:pitch w:val="default"/>
    <w:sig w:usb0="00000000" w:usb1="00000000" w:usb2="00000000" w:usb3="00000000" w:csb0="00040000" w:csb1="00000000"/>
  </w:font>
  <w:font w:name="ˎ̥">
    <w:altName w:val="Times New Roman"/>
    <w:panose1 w:val="00000000000000000000"/>
    <w:charset w:val="00"/>
    <w:family w:val="swiss"/>
    <w:pitch w:val="default"/>
    <w:sig w:usb0="00000000" w:usb1="00000000" w:usb2="00000000" w:usb3="00000000" w:csb0="00040001" w:csb1="00000000"/>
  </w:font>
  <w:font w:name="Verdana">
    <w:panose1 w:val="020B0604030504040204"/>
    <w:charset w:val="00"/>
    <w:family w:val="roman"/>
    <w:pitch w:val="default"/>
    <w:sig w:usb0="A00006FF" w:usb1="4000205B" w:usb2="00000010" w:usb3="00000000" w:csb0="2000019F" w:csb1="00000000"/>
  </w:font>
  <w:font w:name="Calibri Light">
    <w:panose1 w:val="020F0302020204030204"/>
    <w:charset w:val="00"/>
    <w:family w:val="auto"/>
    <w:pitch w:val="default"/>
    <w:sig w:usb0="E4002EFF" w:usb1="C000247B" w:usb2="00000009" w:usb3="00000000" w:csb0="200001FF" w:csb1="00000000"/>
  </w:font>
  <w:font w:name="华文楷体">
    <w:altName w:val="宋体"/>
    <w:panose1 w:val="02010600040101010101"/>
    <w:charset w:val="86"/>
    <w:family w:val="auto"/>
    <w:pitch w:val="default"/>
    <w:sig w:usb0="00000000" w:usb1="00000000" w:usb2="00000010" w:usb3="00000000" w:csb0="0004009F"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auto"/>
    <w:pitch w:val="default"/>
    <w:sig w:usb0="00000000" w:usb1="0000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0MGE0OGYyODNjZTNkMGM5ODE1Yjc2ZWM2ZjM1MWUifQ=="/>
  </w:docVars>
  <w:rsids>
    <w:rsidRoot w:val="00000000"/>
    <w:rsid w:val="03EC07D5"/>
    <w:rsid w:val="052A5D7A"/>
    <w:rsid w:val="05F2584F"/>
    <w:rsid w:val="060F5624"/>
    <w:rsid w:val="090D4CBE"/>
    <w:rsid w:val="095D3A0E"/>
    <w:rsid w:val="099A013B"/>
    <w:rsid w:val="0BA7412C"/>
    <w:rsid w:val="0FAC06CA"/>
    <w:rsid w:val="10D97398"/>
    <w:rsid w:val="11013484"/>
    <w:rsid w:val="110D3FA0"/>
    <w:rsid w:val="11FC0F14"/>
    <w:rsid w:val="12837BC8"/>
    <w:rsid w:val="160866B9"/>
    <w:rsid w:val="1B973578"/>
    <w:rsid w:val="1BC22D4C"/>
    <w:rsid w:val="1C5A59B3"/>
    <w:rsid w:val="1E463F1E"/>
    <w:rsid w:val="22021A41"/>
    <w:rsid w:val="229161D0"/>
    <w:rsid w:val="23AC4FE0"/>
    <w:rsid w:val="23BB6164"/>
    <w:rsid w:val="26043303"/>
    <w:rsid w:val="26C36C65"/>
    <w:rsid w:val="28285D26"/>
    <w:rsid w:val="28AF1EBB"/>
    <w:rsid w:val="28D508D7"/>
    <w:rsid w:val="2CAD5D47"/>
    <w:rsid w:val="2E9C0F87"/>
    <w:rsid w:val="3187654A"/>
    <w:rsid w:val="33B02E00"/>
    <w:rsid w:val="37CC7CC7"/>
    <w:rsid w:val="39C44CC0"/>
    <w:rsid w:val="3CBE4F8C"/>
    <w:rsid w:val="3CEA487B"/>
    <w:rsid w:val="42E3472D"/>
    <w:rsid w:val="43CB173D"/>
    <w:rsid w:val="48783D76"/>
    <w:rsid w:val="48F84300"/>
    <w:rsid w:val="499A39B9"/>
    <w:rsid w:val="4F837195"/>
    <w:rsid w:val="505E39B9"/>
    <w:rsid w:val="53576511"/>
    <w:rsid w:val="535C7B86"/>
    <w:rsid w:val="58D52BCD"/>
    <w:rsid w:val="58F16A3A"/>
    <w:rsid w:val="5C281CBF"/>
    <w:rsid w:val="5D6F58B0"/>
    <w:rsid w:val="5F8965D7"/>
    <w:rsid w:val="5FDC2EBC"/>
    <w:rsid w:val="63DB5E63"/>
    <w:rsid w:val="64980963"/>
    <w:rsid w:val="65C27EE7"/>
    <w:rsid w:val="66636786"/>
    <w:rsid w:val="66AE1DD4"/>
    <w:rsid w:val="69D33DAB"/>
    <w:rsid w:val="6A9C747A"/>
    <w:rsid w:val="6D912D45"/>
    <w:rsid w:val="70344EA3"/>
    <w:rsid w:val="707A2739"/>
    <w:rsid w:val="724F060A"/>
    <w:rsid w:val="72753097"/>
    <w:rsid w:val="76827D2A"/>
    <w:rsid w:val="78803E8C"/>
    <w:rsid w:val="78D00023"/>
    <w:rsid w:val="7AD60415"/>
    <w:rsid w:val="7BA303C1"/>
    <w:rsid w:val="7F923F27"/>
    <w:rsid w:val="7FF47A78"/>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1"/>
    <w:basedOn w:val="1"/>
    <w:next w:val="1"/>
    <w:qFormat/>
    <w:uiPriority w:val="0"/>
    <w:pPr>
      <w:keepNext/>
      <w:keepLines/>
      <w:spacing w:before="340" w:beforeLines="0" w:after="330" w:afterLines="0" w:line="578" w:lineRule="auto"/>
      <w:outlineLvl w:val="0"/>
    </w:pPr>
    <w:rPr>
      <w:b/>
      <w:bCs/>
      <w:kern w:val="44"/>
      <w:sz w:val="44"/>
      <w:szCs w:val="44"/>
    </w:rPr>
  </w:style>
  <w:style w:type="paragraph" w:styleId="6">
    <w:name w:val="heading 2"/>
    <w:basedOn w:val="1"/>
    <w:next w:val="1"/>
    <w:qFormat/>
    <w:uiPriority w:val="0"/>
    <w:pPr>
      <w:keepNext/>
      <w:keepLines/>
      <w:spacing w:before="260" w:beforeLines="0" w:after="260" w:afterLines="0" w:line="416" w:lineRule="auto"/>
      <w:outlineLvl w:val="1"/>
    </w:pPr>
    <w:rPr>
      <w:rFonts w:ascii="Arial" w:hAnsi="Arial" w:eastAsia="黑体"/>
      <w:b/>
      <w:bCs/>
      <w:sz w:val="32"/>
      <w:szCs w:val="32"/>
    </w:rPr>
  </w:style>
  <w:style w:type="character" w:default="1" w:styleId="12">
    <w:name w:val="Default Paragraph Font"/>
    <w:semiHidden/>
    <w:qFormat/>
    <w:uiPriority w:val="0"/>
  </w:style>
  <w:style w:type="table" w:default="1" w:styleId="14">
    <w:name w:val="Normal Table"/>
    <w:semiHidden/>
    <w:qFormat/>
    <w:uiPriority w:val="0"/>
    <w:tblPr>
      <w:tblLayout w:type="fixed"/>
      <w:tblCellMar>
        <w:top w:w="0" w:type="dxa"/>
        <w:left w:w="108" w:type="dxa"/>
        <w:bottom w:w="0" w:type="dxa"/>
        <w:right w:w="108" w:type="dxa"/>
      </w:tblCellMar>
    </w:tblPr>
  </w:style>
  <w:style w:type="paragraph" w:styleId="2">
    <w:name w:val="Body Text First Indent 2"/>
    <w:basedOn w:val="3"/>
    <w:next w:val="1"/>
    <w:qFormat/>
    <w:uiPriority w:val="0"/>
    <w:pPr>
      <w:ind w:left="420" w:firstLine="420" w:firstLineChars="200"/>
    </w:pPr>
  </w:style>
  <w:style w:type="paragraph" w:styleId="3">
    <w:name w:val="Body Text Indent"/>
    <w:basedOn w:val="1"/>
    <w:next w:val="4"/>
    <w:qFormat/>
    <w:uiPriority w:val="0"/>
    <w:pPr>
      <w:ind w:firstLine="630"/>
    </w:pPr>
    <w:rPr>
      <w:sz w:val="32"/>
      <w:szCs w:val="20"/>
    </w:rPr>
  </w:style>
  <w:style w:type="paragraph" w:styleId="4">
    <w:name w:val="envelope return"/>
    <w:basedOn w:val="1"/>
    <w:qFormat/>
    <w:uiPriority w:val="0"/>
    <w:pPr>
      <w:snapToGrid w:val="0"/>
    </w:pPr>
    <w:rPr>
      <w:rFonts w:ascii="Arial" w:hAnsi="Arial"/>
    </w:rPr>
  </w:style>
  <w:style w:type="paragraph" w:styleId="7">
    <w:name w:val="Body Text"/>
    <w:basedOn w:val="1"/>
    <w:qFormat/>
    <w:uiPriority w:val="0"/>
    <w:pPr>
      <w:spacing w:before="26"/>
      <w:ind w:left="121"/>
    </w:pPr>
    <w:rPr>
      <w:rFonts w:ascii="宋体" w:hAnsi="宋体" w:eastAsia="宋体"/>
      <w:sz w:val="24"/>
      <w:szCs w:val="24"/>
    </w:rPr>
  </w:style>
  <w:style w:type="paragraph" w:styleId="8">
    <w:name w:val="Plain Text"/>
    <w:basedOn w:val="1"/>
    <w:qFormat/>
    <w:uiPriority w:val="99"/>
    <w:rPr>
      <w:rFonts w:ascii="宋体" w:hAnsi="Courier New" w:eastAsia="华文宋体" w:cs="宋体"/>
      <w:sz w:val="28"/>
      <w:szCs w:val="28"/>
    </w:rPr>
  </w:style>
  <w:style w:type="paragraph" w:styleId="9">
    <w:name w:val="Date"/>
    <w:basedOn w:val="1"/>
    <w:next w:val="1"/>
    <w:qFormat/>
    <w:uiPriority w:val="0"/>
    <w:pPr>
      <w:ind w:left="100" w:leftChars="2500"/>
    </w:pPr>
  </w:style>
  <w:style w:type="paragraph" w:styleId="10">
    <w:name w:val="header"/>
    <w:basedOn w:val="1"/>
    <w:qFormat/>
    <w:uiPriority w:val="0"/>
    <w:pPr>
      <w:pBdr>
        <w:bottom w:val="single" w:color="auto" w:sz="12" w:space="1"/>
      </w:pBdr>
      <w:tabs>
        <w:tab w:val="center" w:pos="4153"/>
        <w:tab w:val="right" w:pos="8306"/>
      </w:tabs>
      <w:snapToGrid w:val="0"/>
      <w:jc w:val="center"/>
    </w:pPr>
    <w:rPr>
      <w:rFonts w:eastAsia="宋体"/>
      <w:sz w:val="18"/>
      <w:szCs w:val="18"/>
    </w:rPr>
  </w:style>
  <w:style w:type="paragraph" w:styleId="11">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3">
    <w:name w:val="Hyperlink"/>
    <w:basedOn w:val="12"/>
    <w:qFormat/>
    <w:uiPriority w:val="0"/>
    <w:rPr>
      <w:color w:val="0000FF"/>
      <w:u w:val="single"/>
    </w:rPr>
  </w:style>
  <w:style w:type="paragraph" w:customStyle="1" w:styleId="15">
    <w:name w:val="_Style 3"/>
    <w:qFormat/>
    <w:uiPriority w:val="99"/>
    <w:pPr>
      <w:widowControl w:val="0"/>
      <w:jc w:val="both"/>
    </w:pPr>
    <w:rPr>
      <w:rFonts w:ascii="Calibri" w:hAnsi="Calibri" w:eastAsia="宋体" w:cs="Times New Roman"/>
      <w:kern w:val="2"/>
      <w:sz w:val="21"/>
      <w:szCs w:val="22"/>
      <w:lang w:val="en-US" w:eastAsia="zh-CN" w:bidi="ar-SA"/>
    </w:rPr>
  </w:style>
  <w:style w:type="paragraph" w:customStyle="1" w:styleId="16">
    <w:name w:val="02标题二"/>
    <w:basedOn w:val="1"/>
    <w:qFormat/>
    <w:uiPriority w:val="0"/>
    <w:pPr>
      <w:ind w:firstLine="562" w:firstLineChars="200"/>
    </w:pPr>
    <w:rPr>
      <w:rFonts w:cs="华文仿宋"/>
      <w:b/>
      <w:bCs/>
      <w:sz w:val="28"/>
      <w:szCs w:val="28"/>
    </w:rPr>
  </w:style>
  <w:style w:type="paragraph" w:customStyle="1" w:styleId="17">
    <w:name w:val="TOC 标题1"/>
    <w:basedOn w:val="5"/>
    <w:next w:val="1"/>
    <w:qFormat/>
    <w:uiPriority w:val="39"/>
    <w:pPr>
      <w:tabs>
        <w:tab w:val="left" w:pos="1800"/>
      </w:tabs>
      <w:spacing w:before="480" w:line="276" w:lineRule="auto"/>
      <w:outlineLvl w:val="9"/>
    </w:pPr>
    <w:rPr>
      <w:rFonts w:ascii="仿宋" w:hAnsi="仿宋" w:eastAsia="仿宋"/>
      <w:color w:val="000000"/>
      <w:kern w:val="0"/>
      <w:sz w:val="32"/>
      <w:szCs w:val="32"/>
    </w:rPr>
  </w:style>
  <w:style w:type="paragraph" w:customStyle="1" w:styleId="18">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9">
    <w:name w:val="002标题"/>
    <w:basedOn w:val="1"/>
    <w:qFormat/>
    <w:uiPriority w:val="99"/>
    <w:pPr>
      <w:jc w:val="center"/>
    </w:pPr>
    <w:rPr>
      <w:sz w:val="30"/>
      <w:szCs w:val="30"/>
    </w:rPr>
  </w:style>
  <w:style w:type="paragraph" w:customStyle="1" w:styleId="20">
    <w:name w:val="List Paragraph"/>
    <w:basedOn w:val="1"/>
    <w:qFormat/>
    <w:uiPriority w:val="34"/>
    <w:pPr>
      <w:ind w:firstLine="420" w:firstLineChars="200"/>
    </w:pPr>
  </w:style>
  <w:style w:type="paragraph" w:customStyle="1" w:styleId="21">
    <w:name w:val="正文正"/>
    <w:basedOn w:val="1"/>
    <w:qFormat/>
    <w:uiPriority w:val="0"/>
    <w:pPr>
      <w:spacing w:line="560" w:lineRule="exact"/>
      <w:ind w:firstLine="561"/>
    </w:pPr>
    <w:rPr>
      <w:rFonts w:ascii="Calibri" w:hAnsi="Calibri" w:eastAsia="仿宋_GB2312" w:cs="宋体"/>
      <w:sz w:val="28"/>
      <w:szCs w:val="24"/>
    </w:rPr>
  </w:style>
  <w:style w:type="character" w:customStyle="1" w:styleId="22">
    <w:name w:val="样式 仿宋"/>
    <w:qFormat/>
    <w:uiPriority w:val="0"/>
    <w:rPr>
      <w:rFonts w:ascii="仿宋" w:hAnsi="仿宋" w:eastAsia="仿宋"/>
      <w:kern w:val="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1389</Words>
  <Characters>1557</Characters>
  <Lines>0</Lines>
  <Paragraphs>0</Paragraphs>
  <ScaleCrop>false</ScaleCrop>
  <LinksUpToDate>false</LinksUpToDate>
  <CharactersWithSpaces>1617</CharactersWithSpaces>
  <Application>WPS Office_10.1.0.5400_F1E327BC-269C-435d-A152-05C5408002CA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2023-01-30T00:56:00Z</dcterms:created>
  <dc:creator>Administrator</dc:creator>
  <cp:lastModifiedBy>钱志凯</cp:lastModifiedBy>
  <cp:lastPrinted>2023-07-24T00:21:00Z</cp:lastPrinted>
  <dcterms:modified xsi:type="dcterms:W3CDTF">2025-03-03T03:22:48Z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2052-10.1.0.5400</vt:lpwstr>
  </property>
  <property fmtid="{D5CDD505-2E9C-101B-9397-08002B2CF9AE}" pid="3" name="ICV">
    <vt:lpwstr>F4A854DE7BD84C069B2669217B6AAD38</vt:lpwstr>
  </property>
</Properties>
</file>